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黑体" w:hAnsi="黑体" w:eastAsia="黑体" w:cs="黑体"/>
          <w:sz w:val="44"/>
          <w:szCs w:val="44"/>
        </w:rPr>
      </w:pPr>
      <w:r>
        <w:rPr>
          <w:rFonts w:hint="eastAsia" w:ascii="黑体" w:hAnsi="黑体" w:eastAsia="黑体" w:cs="黑体"/>
          <w:sz w:val="44"/>
          <w:szCs w:val="44"/>
        </w:rPr>
        <w:t>律师代理</w:t>
      </w:r>
      <w:r>
        <w:rPr>
          <w:rFonts w:hint="eastAsia" w:ascii="黑体" w:hAnsi="黑体" w:eastAsia="黑体" w:cs="黑体"/>
          <w:sz w:val="44"/>
          <w:szCs w:val="44"/>
          <w:lang w:val="en-US" w:eastAsia="zh-CN"/>
        </w:rPr>
        <w:t>破产</w:t>
      </w:r>
      <w:r>
        <w:rPr>
          <w:rFonts w:hint="eastAsia" w:ascii="黑体" w:hAnsi="黑体" w:eastAsia="黑体" w:cs="黑体"/>
          <w:sz w:val="44"/>
          <w:szCs w:val="44"/>
        </w:rPr>
        <w:t>债权申报业务操作指引</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center"/>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rPr>
        <w:t>（</w:t>
      </w:r>
      <w:r>
        <w:rPr>
          <w:rFonts w:hint="eastAsia" w:ascii="仿宋_GB2312" w:hAnsi="仿宋_GB2312" w:eastAsia="仿宋_GB2312" w:cs="仿宋_GB2312"/>
          <w:i w:val="0"/>
          <w:iCs w:val="0"/>
          <w:caps w:val="0"/>
          <w:color w:val="404040"/>
          <w:spacing w:val="0"/>
          <w:sz w:val="32"/>
          <w:szCs w:val="32"/>
          <w:lang w:val="en-US" w:eastAsia="zh-CN"/>
        </w:rPr>
        <w:t>征求意见</w:t>
      </w:r>
      <w:r>
        <w:rPr>
          <w:rFonts w:hint="eastAsia" w:ascii="仿宋_GB2312" w:hAnsi="仿宋_GB2312" w:eastAsia="仿宋_GB2312" w:cs="仿宋_GB2312"/>
          <w:i w:val="0"/>
          <w:iCs w:val="0"/>
          <w:caps w:val="0"/>
          <w:color w:val="404040"/>
          <w:spacing w:val="0"/>
          <w:sz w:val="32"/>
          <w:szCs w:val="32"/>
        </w:rPr>
        <w:t>稿）</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both"/>
        <w:textAlignment w:val="auto"/>
        <w:rPr>
          <w:rStyle w:val="11"/>
          <w:rFonts w:hint="eastAsia" w:ascii="仿宋_GB2312" w:hAnsi="仿宋_GB2312" w:eastAsia="仿宋_GB2312" w:cs="仿宋_GB2312"/>
          <w:b/>
          <w:i w:val="0"/>
          <w:iCs w:val="0"/>
          <w:caps w:val="0"/>
          <w:color w:val="404040"/>
          <w:spacing w:val="0"/>
          <w:sz w:val="32"/>
          <w:szCs w:val="32"/>
        </w:rPr>
      </w:pP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jc w:val="center"/>
        <w:textAlignment w:val="auto"/>
        <w:rPr>
          <w:rFonts w:hint="eastAsia" w:ascii="仿宋_GB2312" w:hAnsi="仿宋_GB2312" w:eastAsia="仿宋_GB2312" w:cs="仿宋_GB2312"/>
          <w:b/>
          <w:bCs/>
          <w:i w:val="0"/>
          <w:iCs w:val="0"/>
          <w:caps w:val="0"/>
          <w:color w:val="404040"/>
          <w:spacing w:val="0"/>
          <w:sz w:val="32"/>
          <w:szCs w:val="32"/>
        </w:rPr>
      </w:pPr>
      <w:r>
        <w:rPr>
          <w:rStyle w:val="11"/>
          <w:rFonts w:hint="eastAsia" w:ascii="仿宋_GB2312" w:hAnsi="仿宋_GB2312" w:eastAsia="仿宋_GB2312" w:cs="仿宋_GB2312"/>
          <w:b/>
          <w:bCs/>
          <w:i w:val="0"/>
          <w:iCs w:val="0"/>
          <w:caps w:val="0"/>
          <w:color w:val="404040"/>
          <w:spacing w:val="0"/>
          <w:sz w:val="32"/>
          <w:szCs w:val="32"/>
        </w:rPr>
        <w:t>第一章 总则</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0" w:firstLineChars="200"/>
        <w:textAlignment w:val="auto"/>
        <w:rPr>
          <w:rFonts w:hint="eastAsia" w:ascii="仿宋_GB2312" w:hAnsi="仿宋_GB2312" w:eastAsia="仿宋_GB2312" w:cs="仿宋_GB2312"/>
          <w:i w:val="0"/>
          <w:iCs w:val="0"/>
          <w:caps w:val="0"/>
          <w:color w:val="404040"/>
          <w:spacing w:val="0"/>
          <w:sz w:val="32"/>
          <w:szCs w:val="32"/>
          <w:lang w:eastAsia="zh-CN"/>
        </w:rPr>
      </w:pPr>
      <w:r>
        <w:rPr>
          <w:rFonts w:hint="eastAsia" w:ascii="仿宋_GB2312" w:hAnsi="仿宋_GB2312" w:eastAsia="仿宋_GB2312" w:cs="仿宋_GB2312"/>
          <w:i w:val="0"/>
          <w:iCs w:val="0"/>
          <w:caps w:val="0"/>
          <w:color w:val="404040"/>
          <w:spacing w:val="0"/>
          <w:sz w:val="32"/>
          <w:szCs w:val="32"/>
          <w:lang w:val="en-US" w:eastAsia="zh-CN"/>
        </w:rPr>
        <w:t xml:space="preserve">1.1 </w:t>
      </w:r>
      <w:r>
        <w:rPr>
          <w:rFonts w:hint="eastAsia" w:ascii="仿宋_GB2312" w:hAnsi="仿宋_GB2312" w:eastAsia="仿宋_GB2312" w:cs="仿宋_GB2312"/>
          <w:sz w:val="32"/>
          <w:szCs w:val="32"/>
        </w:rPr>
        <w:t>为规范</w:t>
      </w:r>
      <w:r>
        <w:rPr>
          <w:rFonts w:hint="eastAsia" w:ascii="仿宋_GB2312" w:hAnsi="仿宋_GB2312" w:eastAsia="仿宋_GB2312" w:cs="仿宋_GB2312"/>
          <w:sz w:val="32"/>
          <w:szCs w:val="32"/>
          <w:lang w:val="en-US" w:eastAsia="zh-CN"/>
        </w:rPr>
        <w:t>大连市</w:t>
      </w:r>
      <w:r>
        <w:rPr>
          <w:rFonts w:hint="eastAsia" w:ascii="仿宋_GB2312" w:hAnsi="仿宋_GB2312" w:eastAsia="仿宋_GB2312" w:cs="仿宋_GB2312"/>
          <w:sz w:val="32"/>
          <w:szCs w:val="32"/>
        </w:rPr>
        <w:t>律师接受债权人委托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代理破产债权申报业务，指导律师依法、审慎、高效地履行代理职责，维护</w:t>
      </w:r>
      <w:r>
        <w:rPr>
          <w:rFonts w:hint="eastAsia" w:ascii="仿宋_GB2312" w:hAnsi="仿宋_GB2312" w:eastAsia="仿宋_GB2312" w:cs="仿宋_GB2312"/>
          <w:sz w:val="32"/>
          <w:szCs w:val="32"/>
          <w:lang w:val="en-US" w:eastAsia="zh-CN"/>
        </w:rPr>
        <w:t>委托人</w:t>
      </w:r>
      <w:r>
        <w:rPr>
          <w:rFonts w:hint="eastAsia" w:ascii="仿宋_GB2312" w:hAnsi="仿宋_GB2312" w:eastAsia="仿宋_GB2312" w:cs="仿宋_GB2312"/>
          <w:sz w:val="32"/>
          <w:szCs w:val="32"/>
        </w:rPr>
        <w:t>的合法权益，保障破产程序的顺利推进，依据《中华人民共和国企业破产法》</w:t>
      </w:r>
      <w:r>
        <w:rPr>
          <w:rFonts w:hint="eastAsia" w:ascii="仿宋_GB2312" w:hAnsi="仿宋_GB2312" w:eastAsia="仿宋_GB2312" w:cs="仿宋_GB2312"/>
          <w:sz w:val="32"/>
          <w:szCs w:val="32"/>
          <w:lang w:val="en-US" w:eastAsia="zh-CN"/>
        </w:rPr>
        <w:t>及相关法律、法规和</w:t>
      </w:r>
      <w:r>
        <w:rPr>
          <w:rFonts w:hint="eastAsia" w:ascii="仿宋_GB2312" w:hAnsi="仿宋_GB2312" w:eastAsia="仿宋_GB2312" w:cs="仿宋_GB2312"/>
          <w:sz w:val="32"/>
          <w:szCs w:val="32"/>
        </w:rPr>
        <w:t>司法解释</w:t>
      </w:r>
      <w:r>
        <w:rPr>
          <w:rFonts w:hint="eastAsia" w:ascii="仿宋_GB2312" w:hAnsi="仿宋_GB2312" w:eastAsia="仿宋_GB2312" w:cs="仿宋_GB2312"/>
          <w:sz w:val="32"/>
          <w:szCs w:val="32"/>
          <w:lang w:val="en-US" w:eastAsia="zh-CN"/>
        </w:rPr>
        <w:t>的规定</w:t>
      </w:r>
      <w:r>
        <w:rPr>
          <w:rFonts w:hint="eastAsia" w:ascii="仿宋_GB2312" w:hAnsi="仿宋_GB2312" w:eastAsia="仿宋_GB2312" w:cs="仿宋_GB2312"/>
          <w:sz w:val="32"/>
          <w:szCs w:val="32"/>
        </w:rPr>
        <w:t>，制定本指引</w:t>
      </w:r>
      <w:r>
        <w:rPr>
          <w:rFonts w:hint="eastAsia" w:ascii="仿宋_GB2312" w:hAnsi="仿宋_GB2312" w:eastAsia="仿宋_GB2312" w:cs="仿宋_GB2312"/>
          <w:i w:val="0"/>
          <w:iCs w:val="0"/>
          <w:caps w:val="0"/>
          <w:color w:val="404040"/>
          <w:spacing w:val="0"/>
          <w:sz w:val="32"/>
          <w:szCs w:val="32"/>
          <w:lang w:eastAsia="zh-CN"/>
        </w:rPr>
        <w: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500" w:lineRule="exact"/>
        <w:ind w:firstLine="640" w:firstLineChars="200"/>
        <w:textAlignment w:val="auto"/>
        <w:rPr>
          <w:rFonts w:hint="eastAsia" w:ascii="仿宋_GB2312" w:hAnsi="仿宋_GB2312" w:eastAsia="仿宋_GB2312" w:cs="仿宋_GB2312"/>
          <w:i w:val="0"/>
          <w:iCs w:val="0"/>
          <w:caps w:val="0"/>
          <w:color w:val="404040"/>
          <w:spacing w:val="0"/>
          <w:sz w:val="32"/>
          <w:szCs w:val="32"/>
        </w:rPr>
      </w:pPr>
      <w:r>
        <w:rPr>
          <w:rFonts w:hint="eastAsia" w:ascii="仿宋_GB2312" w:hAnsi="仿宋_GB2312" w:eastAsia="仿宋_GB2312" w:cs="仿宋_GB2312"/>
          <w:i w:val="0"/>
          <w:iCs w:val="0"/>
          <w:caps w:val="0"/>
          <w:color w:val="404040"/>
          <w:spacing w:val="0"/>
          <w:sz w:val="32"/>
          <w:szCs w:val="32"/>
          <w:lang w:val="en-US" w:eastAsia="zh-CN"/>
        </w:rPr>
        <w:t>1.2 本指引为指导性文件，不具有强制性，供本市律师在破产清算、重整、和解程序中，接受债权人委托代理申报债权时参考使用</w:t>
      </w:r>
      <w:r>
        <w:rPr>
          <w:rFonts w:hint="eastAsia" w:ascii="仿宋_GB2312" w:hAnsi="仿宋_GB2312" w:eastAsia="仿宋_GB2312" w:cs="仿宋_GB2312"/>
          <w:b w:val="0"/>
          <w:bCs/>
          <w:i w:val="0"/>
          <w:iCs w:val="0"/>
          <w:caps w:val="0"/>
          <w:color w:val="404040"/>
          <w:spacing w:val="0"/>
          <w:sz w:val="32"/>
          <w:szCs w:val="32"/>
        </w:rPr>
        <w:t>。</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 xml:space="preserve">第二章 </w:t>
      </w:r>
      <w:r>
        <w:rPr>
          <w:rFonts w:hint="eastAsia" w:ascii="仿宋_GB2312" w:hAnsi="仿宋_GB2312" w:eastAsia="仿宋_GB2312" w:cs="仿宋_GB2312"/>
          <w:b/>
          <w:bCs/>
          <w:sz w:val="32"/>
          <w:szCs w:val="32"/>
          <w:lang w:val="en-US" w:eastAsia="zh-CN"/>
        </w:rPr>
        <w:t>破产债权的范围</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2.1 债权人对债务人享有的债权发生于人民法院受理破产申请前，属于下列情形之一的，律师可代理债权人向管理人申报：</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（1）无财产担保的债权；</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（2）有财产担保的债权；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未到期的债权</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附条件、附期限的债权</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诉讼、仲裁未决的债权</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债务人的保证人或者其他连带债务人</w:t>
      </w:r>
      <w:r>
        <w:rPr>
          <w:rFonts w:hint="eastAsia" w:ascii="仿宋_GB2312" w:hAnsi="仿宋_GB2312" w:eastAsia="仿宋_GB2312" w:cs="仿宋_GB2312"/>
          <w:sz w:val="32"/>
          <w:szCs w:val="32"/>
          <w:lang w:eastAsia="zh-CN"/>
        </w:rPr>
        <w:t>因代替债务人清偿债务</w:t>
      </w:r>
      <w:r>
        <w:rPr>
          <w:rFonts w:hint="eastAsia" w:ascii="仿宋_GB2312" w:hAnsi="仿宋_GB2312" w:eastAsia="仿宋_GB2312" w:cs="仿宋_GB2312"/>
          <w:sz w:val="32"/>
          <w:szCs w:val="32"/>
          <w:lang w:val="en-US" w:eastAsia="zh-CN"/>
        </w:rPr>
        <w:t>而</w:t>
      </w:r>
      <w:r>
        <w:rPr>
          <w:rFonts w:hint="eastAsia" w:ascii="仿宋_GB2312" w:hAnsi="仿宋_GB2312" w:eastAsia="仿宋_GB2312" w:cs="仿宋_GB2312"/>
          <w:sz w:val="32"/>
          <w:szCs w:val="32"/>
          <w:lang w:eastAsia="zh-CN"/>
        </w:rPr>
        <w:t>取得的求偿权；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债务人的保证人或者其他连带债务人</w:t>
      </w:r>
      <w:r>
        <w:rPr>
          <w:rFonts w:hint="eastAsia" w:ascii="仿宋_GB2312" w:hAnsi="仿宋_GB2312" w:eastAsia="仿宋_GB2312" w:cs="仿宋_GB2312"/>
          <w:sz w:val="32"/>
          <w:szCs w:val="32"/>
          <w:lang w:eastAsia="zh-CN"/>
        </w:rPr>
        <w:t>尚未代替债务人清偿债务取得的将来求偿权，但债权人已经向管理人申报全部债权的除外</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8）人民法院受理破产申请后，管理人或者债务人解除破产申请受理前成立且双方均未履行完毕的合同所产生的损害赔偿请求权；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（9）委托合同的受托人因不知委托人破产事实，继续处理委托事务所产生的请求权；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（10）债务人是票据的出票人，该票据的付款人不知债务人破产的事实而付款或者承兑所产生的请求权；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（11）人民法院受理破产申请前发生的法律事实而成立的其他债权。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val="en-US" w:eastAsia="zh-CN"/>
        </w:rPr>
        <w:t>2.2 委托人是债务人的职工，债务人欠付职工的工资和医疗、伤残补助、抚恤费用，社会保险费用，经济补偿、赔偿金的,律师应告知委托人不必申报,职工债权由管理人调查后列出清单并予以公示。</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rPr>
        <w:t>第</w:t>
      </w:r>
      <w:r>
        <w:rPr>
          <w:rFonts w:hint="eastAsia" w:ascii="仿宋_GB2312" w:hAnsi="仿宋_GB2312" w:eastAsia="仿宋_GB2312" w:cs="仿宋_GB2312"/>
          <w:b/>
          <w:bCs/>
          <w:sz w:val="32"/>
          <w:szCs w:val="32"/>
          <w:lang w:val="en-US" w:eastAsia="zh-CN"/>
        </w:rPr>
        <w:t>三章</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b/>
          <w:bCs/>
          <w:sz w:val="32"/>
          <w:szCs w:val="32"/>
          <w:lang w:val="en-US" w:eastAsia="zh-CN"/>
        </w:rPr>
        <w:t>债权申报期限</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3.1 </w:t>
      </w:r>
      <w:r>
        <w:rPr>
          <w:rFonts w:hint="eastAsia" w:ascii="仿宋_GB2312" w:hAnsi="仿宋_GB2312" w:eastAsia="仿宋_GB2312" w:cs="仿宋_GB2312"/>
          <w:sz w:val="32"/>
          <w:szCs w:val="32"/>
        </w:rPr>
        <w:t>律师应密切关注破产</w:t>
      </w:r>
      <w:r>
        <w:rPr>
          <w:rFonts w:hint="eastAsia" w:ascii="仿宋_GB2312" w:hAnsi="仿宋_GB2312" w:eastAsia="仿宋_GB2312" w:cs="仿宋_GB2312"/>
          <w:sz w:val="32"/>
          <w:szCs w:val="32"/>
          <w:lang w:val="en-US" w:eastAsia="zh-CN"/>
        </w:rPr>
        <w:t>债权申报通知或公告</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在人民法院确定的债权申报期限内向管理人申报债权。申报期限自人民法院发布受理破产申请公告之日起计算，最短不少于三十日，最长一般不超过三个月。</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3.2 债权人未在人民法院确定的申报期限内申报债权的，可以在最后一次破产财产分配之前补充申报。律师应告知委托人，补充申报债权可能需要承担管理人审查和确认债权的费用。此外，对补充申报前已进行的分配，不能获得补充分配。</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3.3 </w:t>
      </w:r>
      <w:r>
        <w:rPr>
          <w:rFonts w:hint="eastAsia" w:ascii="仿宋_GB2312" w:hAnsi="仿宋_GB2312" w:eastAsia="仿宋_GB2312" w:cs="仿宋_GB2312"/>
          <w:sz w:val="32"/>
          <w:szCs w:val="32"/>
        </w:rPr>
        <w:t>债务人已进入重整计划或和解协议执行期间的，债权人未依照《中华人民共和国企业破产法》的规定申报债权的，在该期间无法行使债权人权利；委托人可在重整计划或和解协议执行完毕后，按照重整计划或和解协议规定的同类债权的清偿条件行使权利</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第四章 债权申报方式</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lang w:val="en-US" w:eastAsia="zh-CN"/>
        </w:rPr>
        <w:t>4.1 律师应按照债权申报通知或公告要求的方式代理申报债权。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4.1.1 </w:t>
      </w:r>
      <w:r>
        <w:rPr>
          <w:rFonts w:hint="eastAsia" w:ascii="仿宋_GB2312" w:hAnsi="仿宋_GB2312" w:eastAsia="仿宋_GB2312" w:cs="仿宋_GB2312"/>
          <w:sz w:val="32"/>
          <w:szCs w:val="32"/>
        </w:rPr>
        <w:t>现场申报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按</w:t>
      </w:r>
      <w:r>
        <w:rPr>
          <w:rFonts w:hint="eastAsia" w:ascii="仿宋_GB2312" w:hAnsi="仿宋_GB2312" w:eastAsia="仿宋_GB2312" w:cs="仿宋_GB2312"/>
          <w:sz w:val="32"/>
          <w:szCs w:val="32"/>
          <w:lang w:val="en-US" w:eastAsia="zh-CN"/>
        </w:rPr>
        <w:t>债权申报通知或</w:t>
      </w:r>
      <w:r>
        <w:rPr>
          <w:rFonts w:hint="eastAsia" w:ascii="仿宋_GB2312" w:hAnsi="仿宋_GB2312" w:eastAsia="仿宋_GB2312" w:cs="仿宋_GB2312"/>
          <w:sz w:val="32"/>
          <w:szCs w:val="32"/>
        </w:rPr>
        <w:t>公告的地址和时间，携带申报材料及证据原件前往</w:t>
      </w:r>
      <w:r>
        <w:rPr>
          <w:rFonts w:hint="eastAsia" w:ascii="仿宋_GB2312" w:hAnsi="仿宋_GB2312" w:eastAsia="仿宋_GB2312" w:cs="仿宋_GB2312"/>
          <w:sz w:val="32"/>
          <w:szCs w:val="32"/>
          <w:lang w:val="en-US" w:eastAsia="zh-CN"/>
        </w:rPr>
        <w:t>指定地点申报</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4.1.2 </w:t>
      </w:r>
      <w:r>
        <w:rPr>
          <w:rFonts w:hint="eastAsia" w:ascii="仿宋_GB2312" w:hAnsi="仿宋_GB2312" w:eastAsia="仿宋_GB2312" w:cs="仿宋_GB2312"/>
          <w:sz w:val="32"/>
          <w:szCs w:val="32"/>
        </w:rPr>
        <w:t>邮寄申报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通过EMS等具有物流追踪功能的快递邮寄</w:t>
      </w:r>
      <w:r>
        <w:rPr>
          <w:rFonts w:hint="eastAsia" w:ascii="仿宋_GB2312" w:hAnsi="仿宋_GB2312" w:eastAsia="仿宋_GB2312" w:cs="仿宋_GB2312"/>
          <w:sz w:val="32"/>
          <w:szCs w:val="32"/>
          <w:lang w:val="en-US" w:eastAsia="zh-CN"/>
        </w:rPr>
        <w:t>申报材料</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建议</w:t>
      </w:r>
      <w:r>
        <w:rPr>
          <w:rFonts w:hint="eastAsia" w:ascii="仿宋_GB2312" w:hAnsi="仿宋_GB2312" w:eastAsia="仿宋_GB2312" w:cs="仿宋_GB2312"/>
          <w:sz w:val="32"/>
          <w:szCs w:val="32"/>
        </w:rPr>
        <w:t>在快递单上</w:t>
      </w:r>
      <w:r>
        <w:rPr>
          <w:rFonts w:hint="eastAsia" w:ascii="仿宋_GB2312" w:hAnsi="仿宋_GB2312" w:eastAsia="仿宋_GB2312" w:cs="仿宋_GB2312"/>
          <w:sz w:val="32"/>
          <w:szCs w:val="32"/>
          <w:lang w:val="en-US" w:eastAsia="zh-CN"/>
        </w:rPr>
        <w:t>备注</w:t>
      </w:r>
      <w:r>
        <w:rPr>
          <w:rFonts w:hint="eastAsia" w:ascii="仿宋_GB2312" w:hAnsi="仿宋_GB2312" w:eastAsia="仿宋_GB2312" w:cs="仿宋_GB2312"/>
          <w:sz w:val="32"/>
          <w:szCs w:val="32"/>
        </w:rPr>
        <w:t>“债权申报材料”及债权人名称。律师应保留邮寄凭证，并及时跟踪物流信息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确认</w:t>
      </w:r>
      <w:r>
        <w:rPr>
          <w:rFonts w:hint="eastAsia" w:ascii="仿宋_GB2312" w:hAnsi="仿宋_GB2312" w:eastAsia="仿宋_GB2312" w:cs="仿宋_GB2312"/>
          <w:sz w:val="32"/>
          <w:szCs w:val="32"/>
          <w:lang w:val="en-US" w:eastAsia="zh-CN"/>
        </w:rPr>
        <w:t>是否</w:t>
      </w:r>
      <w:r>
        <w:rPr>
          <w:rFonts w:hint="eastAsia" w:ascii="仿宋_GB2312" w:hAnsi="仿宋_GB2312" w:eastAsia="仿宋_GB2312" w:cs="仿宋_GB2312"/>
          <w:sz w:val="32"/>
          <w:szCs w:val="32"/>
        </w:rPr>
        <w:t>签收。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4.1.3 </w:t>
      </w:r>
      <w:r>
        <w:rPr>
          <w:rFonts w:hint="eastAsia" w:ascii="仿宋_GB2312" w:hAnsi="仿宋_GB2312" w:eastAsia="仿宋_GB2312" w:cs="仿宋_GB2312"/>
          <w:sz w:val="32"/>
          <w:szCs w:val="32"/>
        </w:rPr>
        <w:t>网络申报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通过</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全国企业破产重整案件信息网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或管理人指定的微信小程序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APP</w:t>
      </w:r>
      <w:r>
        <w:rPr>
          <w:rFonts w:hint="eastAsia" w:ascii="仿宋_GB2312" w:hAnsi="仿宋_GB2312" w:eastAsia="仿宋_GB2312" w:cs="仿宋_GB2312"/>
          <w:sz w:val="32"/>
          <w:szCs w:val="32"/>
        </w:rPr>
        <w:t>等电子平台进行申报。</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第五章 债权申报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 律师应按照债权申报通知的要求及时提交申报材料，所有申报材料应经委托人签字、盖章。申报材料的准备可参考本节。</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5.1.1 债权申报表</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5.1.1.1 申报债权的基本情况。写明申报债权的金额、币种、性质、形成原因、经过、有无财产担保、涉诉情况等。</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5.1.1.2 </w:t>
      </w:r>
      <w:r>
        <w:rPr>
          <w:rFonts w:hint="eastAsia" w:ascii="仿宋_GB2312" w:hAnsi="仿宋_GB2312" w:eastAsia="仿宋_GB2312" w:cs="仿宋_GB2312"/>
          <w:sz w:val="32"/>
          <w:szCs w:val="32"/>
        </w:rPr>
        <w:t>利息、违约金</w:t>
      </w:r>
      <w:r>
        <w:rPr>
          <w:rFonts w:hint="eastAsia" w:ascii="仿宋_GB2312" w:hAnsi="仿宋_GB2312" w:eastAsia="仿宋_GB2312" w:cs="仿宋_GB2312"/>
          <w:sz w:val="32"/>
          <w:szCs w:val="32"/>
          <w:lang w:val="en-US" w:eastAsia="zh-CN"/>
        </w:rPr>
        <w:t>的</w:t>
      </w:r>
      <w:r>
        <w:rPr>
          <w:rFonts w:hint="eastAsia" w:ascii="仿宋_GB2312" w:hAnsi="仿宋_GB2312" w:eastAsia="仿宋_GB2312" w:cs="仿宋_GB2312"/>
          <w:sz w:val="32"/>
          <w:szCs w:val="32"/>
        </w:rPr>
        <w:t>计算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可</w:t>
      </w:r>
      <w:r>
        <w:rPr>
          <w:rFonts w:hint="eastAsia" w:ascii="仿宋_GB2312" w:hAnsi="仿宋_GB2312" w:eastAsia="仿宋_GB2312" w:cs="仿宋_GB2312"/>
          <w:sz w:val="32"/>
          <w:szCs w:val="32"/>
        </w:rPr>
        <w:t>另附计算表，列明计算依据、方法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结果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基数、期间起止日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实际天数、金额等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计算基数或标准发生变动的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应分段计算。</w:t>
      </w:r>
      <w:r>
        <w:rPr>
          <w:rFonts w:hint="eastAsia" w:ascii="仿宋_GB2312" w:hAnsi="仿宋_GB2312" w:eastAsia="仿宋_GB2312" w:cs="仿宋_GB2312"/>
          <w:sz w:val="32"/>
          <w:szCs w:val="32"/>
          <w:lang w:val="en-US" w:eastAsia="zh-CN"/>
        </w:rPr>
        <w:t>建议</w:t>
      </w:r>
      <w:r>
        <w:rPr>
          <w:rFonts w:hint="eastAsia" w:ascii="仿宋_GB2312" w:hAnsi="仿宋_GB2312" w:eastAsia="仿宋_GB2312" w:cs="仿宋_GB2312"/>
          <w:sz w:val="32"/>
          <w:szCs w:val="32"/>
        </w:rPr>
        <w:t>将利息与罚息、迟延利息、滞纳金等分开计算。破产申请受理前</w:t>
      </w:r>
      <w:r>
        <w:rPr>
          <w:rFonts w:hint="eastAsia" w:ascii="仿宋_GB2312" w:hAnsi="仿宋_GB2312" w:eastAsia="仿宋_GB2312" w:cs="仿宋_GB2312"/>
          <w:sz w:val="32"/>
          <w:szCs w:val="32"/>
          <w:lang w:val="en-US" w:eastAsia="zh-CN"/>
        </w:rPr>
        <w:t>债务</w:t>
      </w:r>
      <w:r>
        <w:rPr>
          <w:rFonts w:hint="eastAsia" w:ascii="仿宋_GB2312" w:hAnsi="仿宋_GB2312" w:eastAsia="仿宋_GB2312" w:cs="仿宋_GB2312"/>
          <w:sz w:val="32"/>
          <w:szCs w:val="32"/>
        </w:rPr>
        <w:t>人未支付应付款项的滞纳金、</w:t>
      </w:r>
      <w:r>
        <w:rPr>
          <w:rFonts w:hint="eastAsia" w:ascii="仿宋_GB2312" w:hAnsi="仿宋_GB2312" w:eastAsia="仿宋_GB2312" w:cs="仿宋_GB2312"/>
          <w:sz w:val="32"/>
          <w:szCs w:val="32"/>
          <w:lang w:val="en-US" w:eastAsia="zh-CN"/>
        </w:rPr>
        <w:t>迟延履行债务利息一般被认定为劣后债权。</w:t>
      </w:r>
      <w:r>
        <w:rPr>
          <w:rFonts w:hint="eastAsia" w:ascii="仿宋_GB2312" w:hAnsi="仿宋_GB2312" w:eastAsia="仿宋_GB2312" w:cs="仿宋_GB2312"/>
          <w:sz w:val="32"/>
          <w:szCs w:val="32"/>
        </w:rPr>
        <w:t>例外：税收滞纳金属于普通债权</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5.1.2 主体资格材料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5.1.2.1 委托人主体资格证明材料。委托人为单位的，提供营业执照或统一社会信用代码证书复印件、法定代表人身份证明书、法定代表人身份证复印件；委托人为自然人的，提供居民身份证复印件。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5.1.2.2 授权委托代理手续。需提交授权委托书，明确代理权限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并附律师执业证复印件及律师事务所的指派函。</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5.1.3 证明债权发生及金额的证据材料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5.1.3.1 债权发生及履行材料。各类合同书等债权原始材料及票据、汇款单、对账单、提货单、收据、发票等履行凭证。</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5.1.3.2 涉诉材料。债权如有生效法律文书支持的，须提交法律文书及文书已生效的证明材料。如已申请人民法院强制执行的，须提交执行法院关于案件执行情况的证明材料，明确执行环节是否获得清偿以及具体清偿金额等。</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5.1.3.3 保全材料。所申报债权在诉讼或仲裁程序中申请财产保全的，须提交人民法院做出的保全裁定书等相关文件。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5.1.3.4 诉讼时效材料。能够证明债权诉讼时效中止、中断的证明材料（如涉及诉讼时效问题的）。</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5.1.3.5 商业汇票材料。若申报的债权涉及商业汇票的，应另行提供商业汇票产生或流转的基础合同，如涉及被追索的，还应当提供已经清偿后手票据债务的相关证据。</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5.1.3.6 偿还或抵债材料。债权已部分偿还或有其他抵债情形的，须提供偿债凭证、协议或以物抵债协议等材料。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5.1.3.7 其他证明材料。其他能证明债权成立及其金额的材料。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5.1.4 送达地址确认书。律师应按照管理人要求填写送达地址确认书。送达方式变更的，应及时以书面方式通知管理人。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5.1.5 收款账户信息。需填写债权人本人（本单位）的银行账户，并保证账户信息完整、准确、有效。收款账户信息发生变更的，应及时书面通知管理人。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5.1.6 管理人要求提供的其他材料。如管理人要求提交依法申报债权的承诺书等材料的，律师应一并提交。</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5.2 现场提交债权申报材料的，建议向管理人索要</w:t>
      </w:r>
      <w:r>
        <w:rPr>
          <w:rFonts w:hint="eastAsia" w:ascii="仿宋_GB2312" w:hAnsi="仿宋_GB2312" w:eastAsia="仿宋_GB2312" w:cs="仿宋_GB2312"/>
          <w:sz w:val="32"/>
          <w:szCs w:val="32"/>
        </w:rPr>
        <w:t>《债权申报回执》</w:t>
      </w:r>
      <w:r>
        <w:rPr>
          <w:rFonts w:hint="eastAsia" w:ascii="仿宋_GB2312" w:hAnsi="仿宋_GB2312" w:eastAsia="仿宋_GB2312" w:cs="仿宋_GB2312"/>
          <w:sz w:val="32"/>
          <w:szCs w:val="32"/>
          <w:lang w:eastAsia="zh-CN"/>
        </w:rPr>
        <w:t>，如管理人不予出具的，</w:t>
      </w:r>
      <w:r>
        <w:rPr>
          <w:rFonts w:hint="eastAsia" w:ascii="仿宋_GB2312" w:hAnsi="仿宋_GB2312" w:eastAsia="仿宋_GB2312" w:cs="仿宋_GB2312"/>
          <w:sz w:val="32"/>
          <w:szCs w:val="32"/>
          <w:lang w:val="en-US" w:eastAsia="zh-CN"/>
        </w:rPr>
        <w:t>可</w:t>
      </w:r>
      <w:r>
        <w:rPr>
          <w:rFonts w:hint="eastAsia" w:ascii="仿宋_GB2312" w:hAnsi="仿宋_GB2312" w:eastAsia="仿宋_GB2312" w:cs="仿宋_GB2312"/>
          <w:sz w:val="32"/>
          <w:szCs w:val="32"/>
          <w:lang w:eastAsia="zh-CN"/>
        </w:rPr>
        <w:t>通过拍照、录像或其他方式固定申报事实；</w:t>
      </w:r>
      <w:r>
        <w:rPr>
          <w:rFonts w:hint="eastAsia" w:ascii="仿宋_GB2312" w:hAnsi="仿宋_GB2312" w:eastAsia="仿宋_GB2312" w:cs="仿宋_GB2312"/>
          <w:sz w:val="32"/>
          <w:szCs w:val="32"/>
          <w:lang w:val="en-US" w:eastAsia="zh-CN"/>
        </w:rPr>
        <w:t>邮寄申报的，应保留邮寄凭证并跟踪签收情况；网络申报的，可采取截屏、录屏等方式保留申报成功的证明材料。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5.3 提交申报材料后</w:t>
      </w:r>
      <w:r>
        <w:rPr>
          <w:rFonts w:hint="eastAsia" w:ascii="仿宋_GB2312" w:hAnsi="仿宋_GB2312" w:eastAsia="仿宋_GB2312" w:cs="仿宋_GB2312"/>
          <w:sz w:val="32"/>
          <w:szCs w:val="32"/>
          <w:highlight w:val="none"/>
          <w:lang w:val="en-US" w:eastAsia="zh-CN"/>
        </w:rPr>
        <w:t>，律师应关注债权审核进展，与管理人保持沟通。</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5.3.1 管理人通知补正的，律师应及时与委托人沟通，在规定期限内及时补正。</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5.3.2 管理人通知要求核对证据原件的，律师应及时告知委托人，建议由委托人按照管理人要求将证据原件提交管理人核对。</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第六章 债权核查</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6.1 </w:t>
      </w:r>
      <w:r>
        <w:rPr>
          <w:rFonts w:hint="eastAsia" w:ascii="仿宋_GB2312" w:hAnsi="仿宋_GB2312" w:eastAsia="仿宋_GB2312" w:cs="仿宋_GB2312"/>
          <w:sz w:val="32"/>
          <w:szCs w:val="32"/>
        </w:rPr>
        <w:t>债权需经管理人审查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债权人会议核查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人民</w:t>
      </w:r>
      <w:r>
        <w:rPr>
          <w:rFonts w:hint="eastAsia" w:ascii="仿宋_GB2312" w:hAnsi="仿宋_GB2312" w:eastAsia="仿宋_GB2312" w:cs="仿宋_GB2312"/>
          <w:sz w:val="32"/>
          <w:szCs w:val="32"/>
        </w:rPr>
        <w:t>法院裁定确认</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6.1.1 </w:t>
      </w:r>
      <w:r>
        <w:rPr>
          <w:rFonts w:hint="eastAsia" w:ascii="仿宋_GB2312" w:hAnsi="仿宋_GB2312" w:eastAsia="仿宋_GB2312" w:cs="仿宋_GB2312"/>
          <w:sz w:val="32"/>
          <w:szCs w:val="32"/>
        </w:rPr>
        <w:t>管理人审查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管理人通常会在债权人会议召开前</w:t>
      </w:r>
      <w:r>
        <w:rPr>
          <w:rFonts w:hint="eastAsia" w:ascii="仿宋_GB2312" w:hAnsi="仿宋_GB2312" w:eastAsia="仿宋_GB2312" w:cs="仿宋_GB2312"/>
          <w:sz w:val="32"/>
          <w:szCs w:val="32"/>
          <w:lang w:val="en-US" w:eastAsia="zh-CN"/>
        </w:rPr>
        <w:t>或会议召开时</w:t>
      </w:r>
      <w:r>
        <w:rPr>
          <w:rFonts w:hint="eastAsia" w:ascii="仿宋_GB2312" w:hAnsi="仿宋_GB2312" w:eastAsia="仿宋_GB2312" w:cs="仿宋_GB2312"/>
          <w:sz w:val="32"/>
          <w:szCs w:val="32"/>
        </w:rPr>
        <w:t>向债权人出具《债权审查意见书》，告知初步审查结果（确认</w:t>
      </w:r>
      <w:r>
        <w:rPr>
          <w:rFonts w:hint="eastAsia" w:ascii="仿宋_GB2312" w:hAnsi="仿宋_GB2312" w:eastAsia="仿宋_GB2312" w:cs="仿宋_GB2312"/>
          <w:sz w:val="32"/>
          <w:szCs w:val="32"/>
          <w:lang w:val="en-US" w:eastAsia="zh-CN"/>
        </w:rPr>
        <w:t>或部分确认</w:t>
      </w:r>
      <w:r>
        <w:rPr>
          <w:rFonts w:hint="eastAsia" w:ascii="仿宋_GB2312" w:hAnsi="仿宋_GB2312" w:eastAsia="仿宋_GB2312" w:cs="仿宋_GB2312"/>
          <w:sz w:val="32"/>
          <w:szCs w:val="32"/>
        </w:rPr>
        <w:t>、暂缓确认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不予确认）。律师收到后应及时向委托人解读</w:t>
      </w:r>
      <w:r>
        <w:rPr>
          <w:rFonts w:hint="eastAsia" w:ascii="仿宋_GB2312" w:hAnsi="仿宋_GB2312" w:eastAsia="仿宋_GB2312" w:cs="仿宋_GB2312"/>
          <w:sz w:val="32"/>
          <w:szCs w:val="32"/>
          <w:lang w:val="en-US" w:eastAsia="zh-CN"/>
        </w:rPr>
        <w:t>审查结论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如</w:t>
      </w:r>
      <w:r>
        <w:rPr>
          <w:rFonts w:hint="eastAsia" w:ascii="仿宋_GB2312" w:hAnsi="仿宋_GB2312" w:eastAsia="仿宋_GB2312" w:cs="仿宋_GB2312"/>
          <w:sz w:val="32"/>
          <w:szCs w:val="32"/>
        </w:rPr>
        <w:t>有异议，</w:t>
      </w:r>
      <w:r>
        <w:rPr>
          <w:rFonts w:hint="eastAsia" w:ascii="仿宋_GB2312" w:hAnsi="仿宋_GB2312" w:eastAsia="仿宋_GB2312" w:cs="仿宋_GB2312"/>
          <w:sz w:val="32"/>
          <w:szCs w:val="32"/>
          <w:lang w:val="en-US" w:eastAsia="zh-CN"/>
        </w:rPr>
        <w:t>按照本指引进行救济</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6.1.2 对于暂缓确认的债权，律师可代理委托人向管理人提出请求，要求其向人民法院申请确定临时债权额，以保障在债权人会议中的表决权。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6.1.3 </w:t>
      </w:r>
      <w:r>
        <w:rPr>
          <w:rFonts w:hint="eastAsia" w:ascii="仿宋_GB2312" w:hAnsi="仿宋_GB2312" w:eastAsia="仿宋_GB2312" w:cs="仿宋_GB2312"/>
          <w:sz w:val="32"/>
          <w:szCs w:val="32"/>
        </w:rPr>
        <w:t>债权人会议核查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管理人编制《债权表》</w:t>
      </w:r>
      <w:r>
        <w:rPr>
          <w:rFonts w:hint="eastAsia" w:ascii="仿宋_GB2312" w:hAnsi="仿宋_GB2312" w:eastAsia="仿宋_GB2312" w:cs="仿宋_GB2312"/>
          <w:sz w:val="32"/>
          <w:szCs w:val="32"/>
          <w:lang w:val="en-US" w:eastAsia="zh-CN"/>
        </w:rPr>
        <w:t>后</w:t>
      </w:r>
      <w:r>
        <w:rPr>
          <w:rFonts w:hint="eastAsia" w:ascii="仿宋_GB2312" w:hAnsi="仿宋_GB2312" w:eastAsia="仿宋_GB2312" w:cs="仿宋_GB2312"/>
          <w:sz w:val="32"/>
          <w:szCs w:val="32"/>
        </w:rPr>
        <w:t>提交债权人会议核查。律师应当代理委托人参加债权人会议，</w:t>
      </w:r>
      <w:r>
        <w:rPr>
          <w:rFonts w:hint="eastAsia" w:ascii="仿宋_GB2312" w:hAnsi="仿宋_GB2312" w:eastAsia="仿宋_GB2312" w:cs="仿宋_GB2312"/>
          <w:sz w:val="32"/>
          <w:szCs w:val="32"/>
          <w:lang w:val="en-US" w:eastAsia="zh-CN"/>
        </w:rPr>
        <w:t>核对</w:t>
      </w:r>
      <w:r>
        <w:rPr>
          <w:rFonts w:hint="eastAsia" w:ascii="仿宋_GB2312" w:hAnsi="仿宋_GB2312" w:eastAsia="仿宋_GB2312" w:cs="仿宋_GB2312"/>
          <w:sz w:val="32"/>
          <w:szCs w:val="32"/>
        </w:rPr>
        <w:t>本人及他人的债权。</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6.1.4 </w:t>
      </w:r>
      <w:r>
        <w:rPr>
          <w:rFonts w:hint="eastAsia" w:ascii="仿宋_GB2312" w:hAnsi="仿宋_GB2312" w:eastAsia="仿宋_GB2312" w:cs="仿宋_GB2312"/>
          <w:sz w:val="32"/>
          <w:szCs w:val="32"/>
          <w:lang w:eastAsia="zh-CN"/>
        </w:rPr>
        <w:t>人民法院</w:t>
      </w:r>
      <w:r>
        <w:rPr>
          <w:rFonts w:hint="eastAsia" w:ascii="仿宋_GB2312" w:hAnsi="仿宋_GB2312" w:eastAsia="仿宋_GB2312" w:cs="仿宋_GB2312"/>
          <w:sz w:val="32"/>
          <w:szCs w:val="32"/>
        </w:rPr>
        <w:t>裁定确认</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对债务人、债权人无异议的债权，管理人提请人民法院裁定确认。</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6.2 委托人</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val="en-US" w:eastAsia="zh-CN"/>
        </w:rPr>
        <w:t>自己或他人债权审查结论有异议的，一般</w:t>
      </w:r>
      <w:r>
        <w:rPr>
          <w:rFonts w:hint="eastAsia" w:ascii="仿宋_GB2312" w:hAnsi="仿宋_GB2312" w:eastAsia="仿宋_GB2312" w:cs="仿宋_GB2312"/>
          <w:sz w:val="32"/>
          <w:szCs w:val="32"/>
        </w:rPr>
        <w:t>应先向管理人提出书面异议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说明理由和法律依据，要求管理人解释或调整。</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6.3 </w:t>
      </w:r>
      <w:r>
        <w:rPr>
          <w:rFonts w:hint="eastAsia" w:ascii="仿宋_GB2312" w:hAnsi="仿宋_GB2312" w:eastAsia="仿宋_GB2312" w:cs="仿宋_GB2312"/>
          <w:sz w:val="32"/>
          <w:szCs w:val="32"/>
        </w:rPr>
        <w:t>管理人经复核调整</w:t>
      </w:r>
      <w:r>
        <w:rPr>
          <w:rFonts w:hint="eastAsia" w:ascii="仿宋_GB2312" w:hAnsi="仿宋_GB2312" w:eastAsia="仿宋_GB2312" w:cs="仿宋_GB2312"/>
          <w:sz w:val="32"/>
          <w:szCs w:val="32"/>
          <w:lang w:val="en-US" w:eastAsia="zh-CN"/>
        </w:rPr>
        <w:t>债权审查结论</w:t>
      </w:r>
      <w:r>
        <w:rPr>
          <w:rFonts w:hint="eastAsia" w:ascii="仿宋_GB2312" w:hAnsi="仿宋_GB2312" w:eastAsia="仿宋_GB2312" w:cs="仿宋_GB2312"/>
          <w:sz w:val="32"/>
          <w:szCs w:val="32"/>
        </w:rPr>
        <w:t>的，应提交债权人会议</w:t>
      </w:r>
      <w:r>
        <w:rPr>
          <w:rFonts w:hint="eastAsia" w:ascii="仿宋_GB2312" w:hAnsi="仿宋_GB2312" w:eastAsia="仿宋_GB2312" w:cs="仿宋_GB2312"/>
          <w:sz w:val="32"/>
          <w:szCs w:val="32"/>
          <w:lang w:val="en-US" w:eastAsia="zh-CN"/>
        </w:rPr>
        <w:t>再次</w:t>
      </w:r>
      <w:r>
        <w:rPr>
          <w:rFonts w:hint="eastAsia" w:ascii="仿宋_GB2312" w:hAnsi="仿宋_GB2312" w:eastAsia="仿宋_GB2312" w:cs="仿宋_GB2312"/>
          <w:sz w:val="32"/>
          <w:szCs w:val="32"/>
        </w:rPr>
        <w:t>核查；管理人不予调整或解释的，律师应告知</w:t>
      </w:r>
      <w:r>
        <w:rPr>
          <w:rFonts w:hint="eastAsia" w:ascii="仿宋_GB2312" w:hAnsi="仿宋_GB2312" w:eastAsia="仿宋_GB2312" w:cs="仿宋_GB2312"/>
          <w:sz w:val="32"/>
          <w:szCs w:val="32"/>
          <w:lang w:val="en-US" w:eastAsia="zh-CN"/>
        </w:rPr>
        <w:t>委托</w:t>
      </w:r>
      <w:r>
        <w:rPr>
          <w:rFonts w:hint="eastAsia" w:ascii="仿宋_GB2312" w:hAnsi="仿宋_GB2312" w:eastAsia="仿宋_GB2312" w:cs="仿宋_GB2312"/>
          <w:sz w:val="32"/>
          <w:szCs w:val="32"/>
        </w:rPr>
        <w:t>人可依法提起债权确认诉讼。</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6.4 对管理人暂缓确认的债权（如诉讼/仲裁未决、条件未成就等），律师应密切关注相关进展，待原因消除后及时提请管理人审查</w:t>
      </w:r>
      <w:r>
        <w:rPr>
          <w:rFonts w:hint="eastAsia" w:ascii="仿宋_GB2312" w:hAnsi="仿宋_GB2312" w:eastAsia="仿宋_GB2312" w:cs="仿宋_GB2312"/>
          <w:sz w:val="32"/>
          <w:szCs w:val="32"/>
          <w:lang w:eastAsia="zh-CN"/>
        </w:rPr>
        <w:t>。若</w:t>
      </w:r>
      <w:r>
        <w:rPr>
          <w:rFonts w:hint="eastAsia" w:ascii="仿宋_GB2312" w:hAnsi="仿宋_GB2312" w:eastAsia="仿宋_GB2312" w:cs="仿宋_GB2312"/>
          <w:sz w:val="32"/>
          <w:szCs w:val="32"/>
          <w:lang w:val="en-US" w:eastAsia="zh-CN"/>
        </w:rPr>
        <w:t>诉讼/仲裁结果</w:t>
      </w:r>
      <w:r>
        <w:rPr>
          <w:rFonts w:hint="eastAsia" w:ascii="仿宋_GB2312" w:hAnsi="仿宋_GB2312" w:eastAsia="仿宋_GB2312" w:cs="仿宋_GB2312"/>
          <w:sz w:val="32"/>
          <w:szCs w:val="32"/>
          <w:lang w:eastAsia="zh-CN"/>
        </w:rPr>
        <w:t>与申报金额不一致，律师</w:t>
      </w:r>
      <w:r>
        <w:rPr>
          <w:rFonts w:hint="eastAsia" w:ascii="仿宋_GB2312" w:hAnsi="仿宋_GB2312" w:eastAsia="仿宋_GB2312" w:cs="仿宋_GB2312"/>
          <w:sz w:val="32"/>
          <w:szCs w:val="32"/>
          <w:lang w:val="en-US" w:eastAsia="zh-CN"/>
        </w:rPr>
        <w:t>可</w:t>
      </w:r>
      <w:r>
        <w:rPr>
          <w:rFonts w:hint="eastAsia" w:ascii="仿宋_GB2312" w:hAnsi="仿宋_GB2312" w:eastAsia="仿宋_GB2312" w:cs="仿宋_GB2312"/>
          <w:sz w:val="32"/>
          <w:szCs w:val="32"/>
          <w:lang w:eastAsia="zh-CN"/>
        </w:rPr>
        <w:t>联系管理人并依据生效法律文书提交更正材料。</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第七章 破产</w:t>
      </w:r>
      <w:r>
        <w:rPr>
          <w:rFonts w:hint="eastAsia" w:ascii="仿宋_GB2312" w:hAnsi="仿宋_GB2312" w:eastAsia="仿宋_GB2312" w:cs="仿宋_GB2312"/>
          <w:b/>
          <w:bCs/>
          <w:sz w:val="32"/>
          <w:szCs w:val="32"/>
        </w:rPr>
        <w:t>债权确认诉讼</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lang w:val="en-US" w:eastAsia="zh-CN"/>
        </w:rPr>
        <w:t>仲裁）</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lang w:val="en-US" w:eastAsia="zh-CN"/>
        </w:rPr>
        <w:t>7.1 对债权表记载的债权有异议的，应在债权人会议核查结束后十五日内向人民法院提起债权确认诉讼</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7.2 债权确认诉讼应向受理</w:t>
      </w:r>
      <w:r>
        <w:rPr>
          <w:rFonts w:hint="eastAsia" w:ascii="仿宋_GB2312" w:hAnsi="仿宋_GB2312" w:eastAsia="仿宋_GB2312" w:cs="仿宋_GB2312"/>
          <w:sz w:val="32"/>
          <w:szCs w:val="32"/>
        </w:rPr>
        <w:t>破产申请的人民法院</w:t>
      </w:r>
      <w:r>
        <w:rPr>
          <w:rFonts w:hint="eastAsia" w:ascii="仿宋_GB2312" w:hAnsi="仿宋_GB2312" w:eastAsia="仿宋_GB2312" w:cs="仿宋_GB2312"/>
          <w:sz w:val="32"/>
          <w:szCs w:val="32"/>
          <w:lang w:val="en-US" w:eastAsia="zh-CN"/>
        </w:rPr>
        <w:t>提出；</w:t>
      </w:r>
      <w:r>
        <w:rPr>
          <w:rFonts w:hint="eastAsia" w:ascii="仿宋_GB2312" w:hAnsi="仿宋_GB2312" w:eastAsia="仿宋_GB2312" w:cs="仿宋_GB2312"/>
          <w:sz w:val="32"/>
          <w:szCs w:val="32"/>
        </w:rPr>
        <w:t>若当事人在破产申请受理前订立有仲裁条款或仲裁协议的，应向选定的仲裁机构申请确认债权债务关系。</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7.3 委托</w:t>
      </w:r>
      <w:r>
        <w:rPr>
          <w:rFonts w:hint="eastAsia" w:ascii="仿宋_GB2312" w:hAnsi="仿宋_GB2312" w:eastAsia="仿宋_GB2312" w:cs="仿宋_GB2312"/>
          <w:sz w:val="32"/>
          <w:szCs w:val="32"/>
        </w:rPr>
        <w:t>人对本人债权有异议的，应将债务人列为被告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对他人债权有异议的，</w:t>
      </w:r>
      <w:r>
        <w:rPr>
          <w:rFonts w:hint="eastAsia" w:ascii="仿宋_GB2312" w:hAnsi="仿宋_GB2312" w:eastAsia="仿宋_GB2312" w:cs="仿宋_GB2312"/>
          <w:sz w:val="32"/>
          <w:szCs w:val="32"/>
          <w:lang w:val="en-US" w:eastAsia="zh-CN"/>
        </w:rPr>
        <w:t>应</w:t>
      </w:r>
      <w:r>
        <w:rPr>
          <w:rFonts w:hint="eastAsia" w:ascii="仿宋_GB2312" w:hAnsi="仿宋_GB2312" w:eastAsia="仿宋_GB2312" w:cs="仿宋_GB2312"/>
          <w:sz w:val="32"/>
          <w:szCs w:val="32"/>
        </w:rPr>
        <w:t>将被异议债权人列为被告。</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7.4 诉讼（仲裁）请求一般包括要求确认自身债权的性质、金额；</w:t>
      </w:r>
      <w:r>
        <w:rPr>
          <w:rFonts w:hint="eastAsia" w:ascii="仿宋_GB2312" w:hAnsi="仿宋_GB2312" w:eastAsia="仿宋_GB2312" w:cs="仿宋_GB2312"/>
          <w:sz w:val="32"/>
          <w:szCs w:val="32"/>
        </w:rPr>
        <w:t>或，</w:t>
      </w:r>
      <w:r>
        <w:rPr>
          <w:rFonts w:hint="eastAsia" w:ascii="仿宋_GB2312" w:hAnsi="仿宋_GB2312" w:eastAsia="仿宋_GB2312" w:cs="仿宋_GB2312"/>
          <w:sz w:val="32"/>
          <w:szCs w:val="32"/>
          <w:lang w:val="en-US" w:eastAsia="zh-CN"/>
        </w:rPr>
        <w:t>要求不确认他人债权的性质、金额</w:t>
      </w:r>
      <w:r>
        <w:rPr>
          <w:rFonts w:hint="eastAsia" w:ascii="仿宋_GB2312" w:hAnsi="仿宋_GB2312" w:eastAsia="仿宋_GB2312" w:cs="仿宋_GB2312"/>
          <w:sz w:val="32"/>
          <w:szCs w:val="32"/>
        </w:rPr>
        <w:t>；或其他</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第八章 附则</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8.1 </w:t>
      </w:r>
      <w:r>
        <w:rPr>
          <w:rFonts w:hint="eastAsia" w:ascii="仿宋_GB2312" w:hAnsi="仿宋_GB2312" w:eastAsia="仿宋_GB2312" w:cs="仿宋_GB2312"/>
          <w:sz w:val="32"/>
          <w:szCs w:val="32"/>
          <w:highlight w:val="none"/>
          <w:lang w:val="en-US" w:eastAsia="zh-CN"/>
        </w:rPr>
        <w:t>本指引根据2026年10月31日以前的法律、法规等规定，结合相关司法操作实践编写，若本指引公布后，法律、法规、司法解释有新规定的，应以新的规定为依据</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附件：文书样式</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bookmarkStart w:id="0" w:name="_GoBack"/>
      <w:bookmarkEnd w:id="0"/>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Style w:val="11"/>
          <w:rFonts w:hint="eastAsia" w:ascii="黑体" w:hAnsi="黑体" w:eastAsia="黑体" w:cs="黑体"/>
          <w:b/>
          <w:i w:val="0"/>
          <w:iCs w:val="0"/>
          <w:caps w:val="0"/>
          <w:color w:val="404040"/>
          <w:spacing w:val="0"/>
          <w:sz w:val="44"/>
          <w:szCs w:val="44"/>
        </w:rPr>
      </w:pPr>
      <w:r>
        <w:rPr>
          <w:rStyle w:val="11"/>
          <w:rFonts w:hint="eastAsia" w:ascii="黑体" w:hAnsi="黑体" w:eastAsia="黑体" w:cs="黑体"/>
          <w:b/>
          <w:i w:val="0"/>
          <w:iCs w:val="0"/>
          <w:caps w:val="0"/>
          <w:color w:val="404040"/>
          <w:spacing w:val="0"/>
          <w:sz w:val="44"/>
          <w:szCs w:val="44"/>
          <w:lang w:val="en-US" w:eastAsia="zh-CN"/>
        </w:rPr>
        <w:t>大连</w:t>
      </w:r>
      <w:r>
        <w:rPr>
          <w:rStyle w:val="11"/>
          <w:rFonts w:hint="eastAsia" w:ascii="黑体" w:hAnsi="黑体" w:eastAsia="黑体" w:cs="黑体"/>
          <w:b/>
          <w:i w:val="0"/>
          <w:iCs w:val="0"/>
          <w:caps w:val="0"/>
          <w:color w:val="404040"/>
          <w:spacing w:val="0"/>
          <w:sz w:val="44"/>
          <w:szCs w:val="44"/>
        </w:rPr>
        <w:t>市律师协会律师代理</w:t>
      </w:r>
      <w:r>
        <w:rPr>
          <w:rStyle w:val="11"/>
          <w:rFonts w:hint="eastAsia" w:ascii="黑体" w:hAnsi="黑体" w:eastAsia="黑体" w:cs="黑体"/>
          <w:b/>
          <w:i w:val="0"/>
          <w:iCs w:val="0"/>
          <w:caps w:val="0"/>
          <w:color w:val="404040"/>
          <w:spacing w:val="0"/>
          <w:sz w:val="44"/>
          <w:szCs w:val="44"/>
          <w:lang w:val="en-US" w:eastAsia="zh-CN"/>
        </w:rPr>
        <w:t>破产</w:t>
      </w:r>
      <w:r>
        <w:rPr>
          <w:rStyle w:val="11"/>
          <w:rFonts w:hint="eastAsia" w:ascii="黑体" w:hAnsi="黑体" w:eastAsia="黑体" w:cs="黑体"/>
          <w:b/>
          <w:i w:val="0"/>
          <w:iCs w:val="0"/>
          <w:caps w:val="0"/>
          <w:color w:val="404040"/>
          <w:spacing w:val="0"/>
          <w:sz w:val="44"/>
          <w:szCs w:val="44"/>
        </w:rPr>
        <w:t>债权申报</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Style w:val="11"/>
          <w:rFonts w:hint="eastAsia" w:ascii="黑体" w:hAnsi="黑体" w:eastAsia="黑体" w:cs="黑体"/>
          <w:b/>
          <w:i w:val="0"/>
          <w:iCs w:val="0"/>
          <w:caps w:val="0"/>
          <w:color w:val="404040"/>
          <w:spacing w:val="0"/>
          <w:sz w:val="44"/>
          <w:szCs w:val="44"/>
        </w:rPr>
      </w:pPr>
      <w:r>
        <w:rPr>
          <w:rStyle w:val="11"/>
          <w:rFonts w:hint="eastAsia" w:ascii="黑体" w:hAnsi="黑体" w:eastAsia="黑体" w:cs="黑体"/>
          <w:b/>
          <w:i w:val="0"/>
          <w:iCs w:val="0"/>
          <w:caps w:val="0"/>
          <w:color w:val="404040"/>
          <w:spacing w:val="0"/>
          <w:sz w:val="44"/>
          <w:szCs w:val="44"/>
        </w:rPr>
        <w:t>业务操作指引附件——文书样式</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Style w:val="11"/>
          <w:rFonts w:hint="eastAsia" w:ascii="黑体" w:hAnsi="黑体" w:eastAsia="黑体" w:cs="黑体"/>
          <w:b/>
          <w:i w:val="0"/>
          <w:iCs w:val="0"/>
          <w:caps w:val="0"/>
          <w:color w:val="404040"/>
          <w:spacing w:val="0"/>
          <w:sz w:val="44"/>
          <w:szCs w:val="44"/>
        </w:rPr>
      </w:pPr>
    </w:p>
    <w:p>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1.债权申报证据材料清单</w:t>
      </w:r>
    </w:p>
    <w:p>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2.债权申报表</w:t>
      </w:r>
    </w:p>
    <w:p>
      <w:pPr>
        <w:pStyle w:val="2"/>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3.授权委托书</w:t>
      </w:r>
    </w:p>
    <w:p>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br w:type="page"/>
      </w:r>
    </w:p>
    <w:p>
      <w:pPr>
        <w:pStyle w:val="2"/>
        <w:jc w:val="center"/>
        <w:rPr>
          <w:sz w:val="16"/>
          <w:szCs w:val="16"/>
        </w:rPr>
      </w:pPr>
      <w:r>
        <w:rPr>
          <w:rFonts w:hint="eastAsia" w:ascii="黑体" w:hAnsi="黑体" w:eastAsia="黑体" w:cs="黑体"/>
          <w:b w:val="0"/>
          <w:bCs w:val="0"/>
          <w:sz w:val="44"/>
          <w:szCs w:val="44"/>
          <w:lang w:val="en-US" w:eastAsia="zh-CN"/>
        </w:rPr>
        <w:t>1.</w:t>
      </w:r>
      <w:r>
        <w:rPr>
          <w:rFonts w:hint="eastAsia" w:ascii="黑体" w:hAnsi="黑体" w:eastAsia="黑体" w:cs="黑体"/>
          <w:b w:val="0"/>
          <w:bCs w:val="0"/>
          <w:sz w:val="44"/>
          <w:szCs w:val="44"/>
        </w:rPr>
        <w:t>债权申报</w:t>
      </w:r>
      <w:r>
        <w:rPr>
          <w:rFonts w:hint="eastAsia" w:ascii="黑体" w:hAnsi="黑体" w:eastAsia="黑体" w:cs="黑体"/>
          <w:b w:val="0"/>
          <w:bCs w:val="0"/>
          <w:sz w:val="44"/>
          <w:szCs w:val="44"/>
          <w:lang w:val="en-US" w:eastAsia="zh-CN"/>
        </w:rPr>
        <w:t>证据材料</w:t>
      </w:r>
      <w:r>
        <w:rPr>
          <w:rFonts w:hint="eastAsia" w:ascii="黑体" w:hAnsi="黑体" w:eastAsia="黑体" w:cs="黑体"/>
          <w:b w:val="0"/>
          <w:bCs w:val="0"/>
          <w:sz w:val="44"/>
          <w:szCs w:val="44"/>
        </w:rPr>
        <w:t>清单</w:t>
      </w:r>
    </w:p>
    <w:tbl>
      <w:tblPr>
        <w:tblStyle w:val="9"/>
        <w:tblW w:w="100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549"/>
        <w:gridCol w:w="3308"/>
        <w:gridCol w:w="944"/>
        <w:gridCol w:w="905"/>
        <w:gridCol w:w="25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576" w:type="dxa"/>
            <w:gridSpan w:val="3"/>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申报债权文件目录</w:t>
            </w:r>
          </w:p>
        </w:tc>
        <w:tc>
          <w:tcPr>
            <w:tcW w:w="944"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份数</w:t>
            </w:r>
          </w:p>
        </w:tc>
        <w:tc>
          <w:tcPr>
            <w:tcW w:w="90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页数</w:t>
            </w:r>
          </w:p>
        </w:tc>
        <w:tc>
          <w:tcPr>
            <w:tcW w:w="258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原件或复印件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79" w:hRule="atLeast"/>
          <w:jc w:val="center"/>
        </w:trPr>
        <w:tc>
          <w:tcPr>
            <w:tcW w:w="719" w:type="dxa"/>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4857" w:type="dxa"/>
            <w:gridSpan w:val="2"/>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《债权申报表》</w:t>
            </w:r>
          </w:p>
        </w:tc>
        <w:tc>
          <w:tcPr>
            <w:tcW w:w="944"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0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2585" w:type="dxa"/>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4" w:hRule="atLeast"/>
          <w:jc w:val="center"/>
        </w:trPr>
        <w:tc>
          <w:tcPr>
            <w:tcW w:w="719" w:type="dxa"/>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4857" w:type="dxa"/>
            <w:gridSpan w:val="2"/>
            <w:vAlign w:val="center"/>
          </w:tcPr>
          <w:p>
            <w:pPr>
              <w:keepNext w:val="0"/>
              <w:keepLines w:val="0"/>
              <w:suppressLineNumbers w:val="0"/>
              <w:spacing w:before="0" w:beforeAutospacing="0" w:after="160" w:afterAutospacing="0" w:line="360" w:lineRule="auto"/>
              <w:ind w:left="0" w:right="0"/>
              <w:jc w:val="both"/>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主体资格证明材料（营业执照/身份证复印件、法定代表人身份证明、法定代表人身份证复印件）</w:t>
            </w:r>
          </w:p>
        </w:tc>
        <w:tc>
          <w:tcPr>
            <w:tcW w:w="944"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0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2585" w:type="dxa"/>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6" w:hRule="atLeast"/>
          <w:jc w:val="center"/>
        </w:trPr>
        <w:tc>
          <w:tcPr>
            <w:tcW w:w="719" w:type="dxa"/>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4857" w:type="dxa"/>
            <w:gridSpan w:val="2"/>
            <w:vAlign w:val="center"/>
          </w:tcPr>
          <w:p>
            <w:pPr>
              <w:keepNext w:val="0"/>
              <w:keepLines w:val="0"/>
              <w:suppressLineNumbers w:val="0"/>
              <w:spacing w:before="0" w:beforeAutospacing="0" w:after="160" w:afterAutospacing="0" w:line="360" w:lineRule="auto"/>
              <w:ind w:left="0" w:right="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委托代理手续（授权委托书、律师事务所指派函、律师证复印件）</w:t>
            </w:r>
          </w:p>
        </w:tc>
        <w:tc>
          <w:tcPr>
            <w:tcW w:w="944"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0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2585" w:type="dxa"/>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9" w:hRule="atLeast"/>
          <w:jc w:val="center"/>
        </w:trPr>
        <w:tc>
          <w:tcPr>
            <w:tcW w:w="719" w:type="dxa"/>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4857" w:type="dxa"/>
            <w:gridSpan w:val="2"/>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44"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0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2585" w:type="dxa"/>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49" w:hRule="atLeast"/>
          <w:jc w:val="center"/>
        </w:trPr>
        <w:tc>
          <w:tcPr>
            <w:tcW w:w="719" w:type="dxa"/>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4857" w:type="dxa"/>
            <w:gridSpan w:val="2"/>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44"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0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2585" w:type="dxa"/>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4" w:hRule="atLeast"/>
          <w:jc w:val="center"/>
        </w:trPr>
        <w:tc>
          <w:tcPr>
            <w:tcW w:w="719" w:type="dxa"/>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4857" w:type="dxa"/>
            <w:gridSpan w:val="2"/>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44"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0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258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4" w:hRule="atLeast"/>
          <w:jc w:val="center"/>
        </w:trPr>
        <w:tc>
          <w:tcPr>
            <w:tcW w:w="719" w:type="dxa"/>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w:t>
            </w:r>
          </w:p>
        </w:tc>
        <w:tc>
          <w:tcPr>
            <w:tcW w:w="4857" w:type="dxa"/>
            <w:gridSpan w:val="2"/>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44"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0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258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4" w:hRule="atLeast"/>
          <w:jc w:val="center"/>
        </w:trPr>
        <w:tc>
          <w:tcPr>
            <w:tcW w:w="719" w:type="dxa"/>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4857" w:type="dxa"/>
            <w:gridSpan w:val="2"/>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44"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0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258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1" w:hRule="atLeast"/>
          <w:jc w:val="center"/>
        </w:trPr>
        <w:tc>
          <w:tcPr>
            <w:tcW w:w="719" w:type="dxa"/>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w:t>
            </w:r>
          </w:p>
        </w:tc>
        <w:tc>
          <w:tcPr>
            <w:tcW w:w="4857" w:type="dxa"/>
            <w:gridSpan w:val="2"/>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44"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0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258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3" w:hRule="atLeast"/>
          <w:jc w:val="center"/>
        </w:trPr>
        <w:tc>
          <w:tcPr>
            <w:tcW w:w="719" w:type="dxa"/>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4857" w:type="dxa"/>
            <w:gridSpan w:val="2"/>
            <w:vAlign w:val="center"/>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44"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90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c>
          <w:tcPr>
            <w:tcW w:w="2585" w:type="dxa"/>
          </w:tcPr>
          <w:p>
            <w:pPr>
              <w:keepNext w:val="0"/>
              <w:keepLines w:val="0"/>
              <w:suppressLineNumbers w:val="0"/>
              <w:spacing w:before="0" w:beforeAutospacing="0" w:after="160" w:afterAutospacing="0" w:line="360" w:lineRule="auto"/>
              <w:ind w:left="0" w:right="0"/>
              <w:jc w:val="center"/>
              <w:rPr>
                <w:rFonts w:hint="eastAsia" w:ascii="仿宋_GB2312" w:hAnsi="仿宋_GB2312" w:eastAsia="仿宋_GB2312" w:cs="仿宋_GB2312"/>
                <w:sz w:val="28"/>
                <w:szCs w:val="2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4" w:hRule="atLeast"/>
          <w:jc w:val="center"/>
        </w:trPr>
        <w:tc>
          <w:tcPr>
            <w:tcW w:w="2268" w:type="dxa"/>
            <w:gridSpan w:val="2"/>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申报人签名</w:t>
            </w:r>
          </w:p>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eastAsia="zh-CN"/>
              </w:rPr>
              <w:t>（</w:t>
            </w:r>
            <w:r>
              <w:rPr>
                <w:rFonts w:hint="eastAsia" w:ascii="仿宋_GB2312" w:hAnsi="仿宋_GB2312" w:eastAsia="仿宋_GB2312" w:cs="仿宋_GB2312"/>
                <w:b/>
                <w:sz w:val="28"/>
                <w:szCs w:val="28"/>
                <w:lang w:val="en-US" w:eastAsia="zh-CN"/>
              </w:rPr>
              <w:t>盖章）</w:t>
            </w:r>
          </w:p>
        </w:tc>
        <w:tc>
          <w:tcPr>
            <w:tcW w:w="7742"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160" w:afterAutospacing="0" w:line="276" w:lineRule="auto"/>
              <w:ind w:left="0" w:right="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p>
            <w:pPr>
              <w:keepNext w:val="0"/>
              <w:keepLines w:val="0"/>
              <w:suppressLineNumbers w:val="0"/>
              <w:spacing w:before="0" w:beforeAutospacing="0" w:after="160" w:afterAutospacing="0" w:line="276" w:lineRule="auto"/>
              <w:ind w:left="0" w:right="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b/>
                <w:sz w:val="28"/>
                <w:szCs w:val="28"/>
              </w:rPr>
              <w:t xml:space="preserve">   年     月     日</w:t>
            </w:r>
          </w:p>
        </w:tc>
      </w:tr>
    </w:tbl>
    <w:p>
      <w:pPr>
        <w:pStyle w:val="2"/>
        <w:jc w:val="center"/>
        <w:rPr>
          <w:sz w:val="16"/>
          <w:szCs w:val="16"/>
        </w:rPr>
      </w:pPr>
      <w:r>
        <w:rPr>
          <w:rFonts w:hint="eastAsia" w:ascii="黑体" w:hAnsi="黑体" w:eastAsia="黑体" w:cs="黑体"/>
          <w:b w:val="0"/>
          <w:bCs w:val="0"/>
          <w:sz w:val="44"/>
          <w:szCs w:val="44"/>
          <w:lang w:val="en-US" w:eastAsia="zh-CN"/>
        </w:rPr>
        <w:t>2.</w:t>
      </w:r>
      <w:r>
        <w:rPr>
          <w:rFonts w:hint="eastAsia" w:ascii="黑体" w:hAnsi="黑体" w:eastAsia="黑体" w:cs="黑体"/>
          <w:b w:val="0"/>
          <w:bCs w:val="0"/>
          <w:sz w:val="44"/>
          <w:szCs w:val="44"/>
        </w:rPr>
        <w:t>债权申报表</w:t>
      </w:r>
    </w:p>
    <w:tbl>
      <w:tblPr>
        <w:tblStyle w:val="9"/>
        <w:tblW w:w="10060" w:type="dxa"/>
        <w:tblInd w:w="-8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9"/>
        <w:gridCol w:w="1624"/>
        <w:gridCol w:w="1393"/>
        <w:gridCol w:w="862"/>
        <w:gridCol w:w="798"/>
        <w:gridCol w:w="855"/>
        <w:gridCol w:w="32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269"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申报人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基本信息</w:t>
            </w:r>
          </w:p>
        </w:tc>
        <w:tc>
          <w:tcPr>
            <w:tcW w:w="1624" w:type="dxa"/>
            <w:vMerge w:val="restart"/>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姓名/名称</w:t>
            </w:r>
          </w:p>
        </w:tc>
        <w:tc>
          <w:tcPr>
            <w:tcW w:w="7167" w:type="dxa"/>
            <w:gridSpan w:val="5"/>
            <w:vMerge w:val="restart"/>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56" w:afterLines="50" w:afterAutospacing="0" w:line="380" w:lineRule="exact"/>
              <w:ind w:left="0" w:right="0"/>
              <w:jc w:val="center"/>
              <w:textAlignment w:val="auto"/>
              <w:rPr>
                <w:rFonts w:hint="eastAsia" w:ascii="仿宋_GB2312" w:hAnsi="仿宋_GB2312" w:eastAsia="仿宋_GB2312" w:cs="仿宋_GB2312"/>
                <w:b/>
                <w:sz w:val="28"/>
                <w:szCs w:val="28"/>
              </w:rPr>
            </w:pPr>
          </w:p>
        </w:tc>
        <w:tc>
          <w:tcPr>
            <w:tcW w:w="1624" w:type="dxa"/>
            <w:vMerge w:val="continue"/>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c>
          <w:tcPr>
            <w:tcW w:w="7167" w:type="dxa"/>
            <w:gridSpan w:val="5"/>
            <w:vMerge w:val="continue"/>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56" w:afterLines="50" w:afterAutospacing="0" w:line="380" w:lineRule="exact"/>
              <w:ind w:left="0" w:right="0"/>
              <w:jc w:val="center"/>
              <w:textAlignment w:val="auto"/>
              <w:rPr>
                <w:rFonts w:hint="eastAsia" w:ascii="仿宋_GB2312" w:hAnsi="仿宋_GB2312" w:eastAsia="仿宋_GB2312" w:cs="仿宋_GB2312"/>
                <w:sz w:val="28"/>
                <w:szCs w:val="28"/>
              </w:rPr>
            </w:pPr>
          </w:p>
        </w:tc>
        <w:tc>
          <w:tcPr>
            <w:tcW w:w="1624" w:type="dxa"/>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送达地址</w:t>
            </w:r>
          </w:p>
        </w:tc>
        <w:tc>
          <w:tcPr>
            <w:tcW w:w="7167" w:type="dxa"/>
            <w:gridSpan w:val="5"/>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56" w:afterLines="50" w:afterAutospacing="0" w:line="380" w:lineRule="exact"/>
              <w:ind w:left="0" w:right="0"/>
              <w:jc w:val="center"/>
              <w:textAlignment w:val="auto"/>
              <w:rPr>
                <w:rFonts w:hint="eastAsia" w:ascii="仿宋_GB2312" w:hAnsi="仿宋_GB2312" w:eastAsia="仿宋_GB2312" w:cs="仿宋_GB2312"/>
                <w:sz w:val="28"/>
                <w:szCs w:val="28"/>
              </w:rPr>
            </w:pPr>
          </w:p>
        </w:tc>
        <w:tc>
          <w:tcPr>
            <w:tcW w:w="1624" w:type="dxa"/>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邮政编码</w:t>
            </w:r>
          </w:p>
        </w:tc>
        <w:tc>
          <w:tcPr>
            <w:tcW w:w="7167" w:type="dxa"/>
            <w:gridSpan w:val="5"/>
            <w:vAlign w:val="center"/>
          </w:tcPr>
          <w:p>
            <w:pPr>
              <w:keepNext w:val="0"/>
              <w:keepLines w:val="0"/>
              <w:suppressLineNumbers w:val="0"/>
              <w:spacing w:before="0" w:beforeAutospacing="0" w:after="160" w:afterAutospacing="0" w:line="276" w:lineRule="auto"/>
              <w:ind w:left="1737"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56" w:afterLines="50" w:afterAutospacing="0" w:line="380" w:lineRule="exact"/>
              <w:ind w:left="0" w:right="0"/>
              <w:jc w:val="center"/>
              <w:textAlignment w:val="auto"/>
              <w:rPr>
                <w:rFonts w:hint="eastAsia" w:ascii="仿宋_GB2312" w:hAnsi="仿宋_GB2312" w:eastAsia="仿宋_GB2312" w:cs="仿宋_GB2312"/>
                <w:sz w:val="28"/>
                <w:szCs w:val="28"/>
              </w:rPr>
            </w:pPr>
          </w:p>
        </w:tc>
        <w:tc>
          <w:tcPr>
            <w:tcW w:w="1624" w:type="dxa"/>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255" w:type="dxa"/>
            <w:gridSpan w:val="2"/>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c>
          <w:tcPr>
            <w:tcW w:w="1653" w:type="dxa"/>
            <w:gridSpan w:val="2"/>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电子邮箱</w:t>
            </w:r>
          </w:p>
        </w:tc>
        <w:tc>
          <w:tcPr>
            <w:tcW w:w="3259" w:type="dxa"/>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269"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银行账户信息</w:t>
            </w:r>
          </w:p>
        </w:tc>
        <w:tc>
          <w:tcPr>
            <w:tcW w:w="1624" w:type="dxa"/>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账户名称</w:t>
            </w:r>
          </w:p>
        </w:tc>
        <w:tc>
          <w:tcPr>
            <w:tcW w:w="2255" w:type="dxa"/>
            <w:gridSpan w:val="2"/>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c>
          <w:tcPr>
            <w:tcW w:w="1653" w:type="dxa"/>
            <w:gridSpan w:val="2"/>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开户银行</w:t>
            </w:r>
          </w:p>
        </w:tc>
        <w:tc>
          <w:tcPr>
            <w:tcW w:w="3259" w:type="dxa"/>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sz w:val="28"/>
                <w:szCs w:val="28"/>
              </w:rPr>
            </w:pPr>
          </w:p>
        </w:tc>
        <w:tc>
          <w:tcPr>
            <w:tcW w:w="1624" w:type="dxa"/>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银行账号</w:t>
            </w:r>
          </w:p>
        </w:tc>
        <w:tc>
          <w:tcPr>
            <w:tcW w:w="7167" w:type="dxa"/>
            <w:gridSpan w:val="5"/>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269"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代理人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sz w:val="28"/>
                <w:szCs w:val="28"/>
              </w:rPr>
              <w:t>基本信息</w:t>
            </w:r>
          </w:p>
        </w:tc>
        <w:tc>
          <w:tcPr>
            <w:tcW w:w="1624" w:type="dxa"/>
            <w:vMerge w:val="restart"/>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7167" w:type="dxa"/>
            <w:gridSpan w:val="5"/>
            <w:vMerge w:val="restart"/>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56" w:afterLines="50" w:afterAutospacing="0" w:line="380" w:lineRule="exact"/>
              <w:ind w:left="0" w:right="0"/>
              <w:jc w:val="center"/>
              <w:textAlignment w:val="auto"/>
              <w:rPr>
                <w:rFonts w:hint="eastAsia" w:ascii="仿宋_GB2312" w:hAnsi="仿宋_GB2312" w:eastAsia="仿宋_GB2312" w:cs="仿宋_GB2312"/>
                <w:b/>
                <w:sz w:val="28"/>
                <w:szCs w:val="28"/>
              </w:rPr>
            </w:pPr>
          </w:p>
        </w:tc>
        <w:tc>
          <w:tcPr>
            <w:tcW w:w="1624" w:type="dxa"/>
            <w:vMerge w:val="continue"/>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c>
          <w:tcPr>
            <w:tcW w:w="7167" w:type="dxa"/>
            <w:gridSpan w:val="5"/>
            <w:vMerge w:val="continue"/>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56" w:afterLines="50" w:afterAutospacing="0" w:line="380" w:lineRule="exact"/>
              <w:ind w:left="0" w:right="0"/>
              <w:jc w:val="center"/>
              <w:textAlignment w:val="auto"/>
              <w:rPr>
                <w:rFonts w:hint="eastAsia" w:ascii="仿宋_GB2312" w:hAnsi="仿宋_GB2312" w:eastAsia="仿宋_GB2312" w:cs="仿宋_GB2312"/>
                <w:sz w:val="28"/>
                <w:szCs w:val="28"/>
              </w:rPr>
            </w:pPr>
          </w:p>
        </w:tc>
        <w:tc>
          <w:tcPr>
            <w:tcW w:w="1624" w:type="dxa"/>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送达地址</w:t>
            </w:r>
          </w:p>
        </w:tc>
        <w:tc>
          <w:tcPr>
            <w:tcW w:w="7167" w:type="dxa"/>
            <w:gridSpan w:val="5"/>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56" w:afterLines="50" w:afterAutospacing="0" w:line="380" w:lineRule="exact"/>
              <w:ind w:left="0" w:right="0"/>
              <w:jc w:val="center"/>
              <w:textAlignment w:val="auto"/>
              <w:rPr>
                <w:rFonts w:hint="eastAsia" w:ascii="仿宋_GB2312" w:hAnsi="仿宋_GB2312" w:eastAsia="仿宋_GB2312" w:cs="仿宋_GB2312"/>
                <w:sz w:val="28"/>
                <w:szCs w:val="28"/>
              </w:rPr>
            </w:pPr>
          </w:p>
        </w:tc>
        <w:tc>
          <w:tcPr>
            <w:tcW w:w="1624" w:type="dxa"/>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邮政编码</w:t>
            </w:r>
          </w:p>
        </w:tc>
        <w:tc>
          <w:tcPr>
            <w:tcW w:w="7167" w:type="dxa"/>
            <w:gridSpan w:val="5"/>
            <w:vAlign w:val="center"/>
          </w:tcPr>
          <w:p>
            <w:pPr>
              <w:keepNext w:val="0"/>
              <w:keepLines w:val="0"/>
              <w:suppressLineNumbers w:val="0"/>
              <w:spacing w:before="0" w:beforeAutospacing="0" w:after="160" w:afterAutospacing="0" w:line="276" w:lineRule="auto"/>
              <w:ind w:left="1737"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56" w:afterLines="50" w:afterAutospacing="0" w:line="380" w:lineRule="exact"/>
              <w:ind w:left="0" w:right="0"/>
              <w:jc w:val="center"/>
              <w:textAlignment w:val="auto"/>
              <w:rPr>
                <w:rFonts w:hint="eastAsia" w:ascii="仿宋_GB2312" w:hAnsi="仿宋_GB2312" w:eastAsia="仿宋_GB2312" w:cs="仿宋_GB2312"/>
                <w:sz w:val="28"/>
                <w:szCs w:val="28"/>
              </w:rPr>
            </w:pPr>
          </w:p>
        </w:tc>
        <w:tc>
          <w:tcPr>
            <w:tcW w:w="1624" w:type="dxa"/>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255" w:type="dxa"/>
            <w:gridSpan w:val="2"/>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c>
          <w:tcPr>
            <w:tcW w:w="1653" w:type="dxa"/>
            <w:gridSpan w:val="2"/>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电子邮箱</w:t>
            </w:r>
          </w:p>
        </w:tc>
        <w:tc>
          <w:tcPr>
            <w:tcW w:w="3259" w:type="dxa"/>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269"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b/>
                <w:sz w:val="28"/>
                <w:szCs w:val="28"/>
              </w:rPr>
            </w:pPr>
            <w:r>
              <w:rPr>
                <w:rFonts w:hint="eastAsia" w:ascii="仿宋_GB2312" w:hAnsi="仿宋_GB2312" w:eastAsia="仿宋_GB2312" w:cs="仿宋_GB2312"/>
                <w:b/>
                <w:sz w:val="28"/>
                <w:szCs w:val="28"/>
              </w:rPr>
              <w:t>申报债权情况</w:t>
            </w:r>
          </w:p>
        </w:tc>
        <w:tc>
          <w:tcPr>
            <w:tcW w:w="1624" w:type="dxa"/>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债权总额</w:t>
            </w:r>
          </w:p>
        </w:tc>
        <w:tc>
          <w:tcPr>
            <w:tcW w:w="7167" w:type="dxa"/>
            <w:gridSpan w:val="5"/>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sz w:val="28"/>
                <w:szCs w:val="28"/>
              </w:rPr>
            </w:pPr>
          </w:p>
        </w:tc>
        <w:tc>
          <w:tcPr>
            <w:tcW w:w="1624" w:type="dxa"/>
            <w:vMerge w:val="restart"/>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bCs/>
                <w:color w:val="000000"/>
                <w:kern w:val="0"/>
                <w:sz w:val="28"/>
                <w:szCs w:val="28"/>
              </w:rPr>
              <w:t>债权构成</w:t>
            </w:r>
          </w:p>
        </w:tc>
        <w:tc>
          <w:tcPr>
            <w:tcW w:w="3053" w:type="dxa"/>
            <w:gridSpan w:val="3"/>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bCs/>
                <w:color w:val="000000"/>
                <w:kern w:val="0"/>
                <w:sz w:val="28"/>
                <w:szCs w:val="28"/>
              </w:rPr>
              <w:t>本金</w:t>
            </w:r>
          </w:p>
        </w:tc>
        <w:tc>
          <w:tcPr>
            <w:tcW w:w="4114" w:type="dxa"/>
            <w:gridSpan w:val="2"/>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sz w:val="28"/>
                <w:szCs w:val="28"/>
              </w:rPr>
            </w:pPr>
          </w:p>
        </w:tc>
        <w:tc>
          <w:tcPr>
            <w:tcW w:w="1624" w:type="dxa"/>
            <w:vMerge w:val="continue"/>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c>
          <w:tcPr>
            <w:tcW w:w="3053" w:type="dxa"/>
            <w:gridSpan w:val="3"/>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bCs/>
                <w:color w:val="000000"/>
                <w:kern w:val="0"/>
                <w:sz w:val="28"/>
                <w:szCs w:val="28"/>
              </w:rPr>
              <w:t>违约金</w:t>
            </w:r>
          </w:p>
        </w:tc>
        <w:tc>
          <w:tcPr>
            <w:tcW w:w="4114" w:type="dxa"/>
            <w:gridSpan w:val="2"/>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sz w:val="28"/>
                <w:szCs w:val="28"/>
              </w:rPr>
            </w:pPr>
          </w:p>
        </w:tc>
        <w:tc>
          <w:tcPr>
            <w:tcW w:w="1624" w:type="dxa"/>
            <w:vMerge w:val="continue"/>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c>
          <w:tcPr>
            <w:tcW w:w="3053" w:type="dxa"/>
            <w:gridSpan w:val="3"/>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bCs/>
                <w:color w:val="000000"/>
                <w:kern w:val="0"/>
                <w:sz w:val="28"/>
                <w:szCs w:val="28"/>
              </w:rPr>
              <w:t>利息</w:t>
            </w:r>
          </w:p>
        </w:tc>
        <w:tc>
          <w:tcPr>
            <w:tcW w:w="4114" w:type="dxa"/>
            <w:gridSpan w:val="2"/>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sz w:val="28"/>
                <w:szCs w:val="28"/>
              </w:rPr>
            </w:pPr>
          </w:p>
        </w:tc>
        <w:tc>
          <w:tcPr>
            <w:tcW w:w="1624" w:type="dxa"/>
            <w:vMerge w:val="continue"/>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c>
          <w:tcPr>
            <w:tcW w:w="3053" w:type="dxa"/>
            <w:gridSpan w:val="3"/>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bCs/>
                <w:color w:val="000000"/>
                <w:kern w:val="0"/>
                <w:sz w:val="28"/>
                <w:szCs w:val="28"/>
              </w:rPr>
              <w:t>损失</w:t>
            </w:r>
          </w:p>
        </w:tc>
        <w:tc>
          <w:tcPr>
            <w:tcW w:w="4114" w:type="dxa"/>
            <w:gridSpan w:val="2"/>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sz w:val="28"/>
                <w:szCs w:val="28"/>
              </w:rPr>
            </w:pPr>
          </w:p>
        </w:tc>
        <w:tc>
          <w:tcPr>
            <w:tcW w:w="1624" w:type="dxa"/>
            <w:vMerge w:val="continue"/>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c>
          <w:tcPr>
            <w:tcW w:w="3053" w:type="dxa"/>
            <w:gridSpan w:val="3"/>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bCs/>
                <w:color w:val="000000"/>
                <w:kern w:val="0"/>
                <w:sz w:val="28"/>
                <w:szCs w:val="28"/>
              </w:rPr>
            </w:pPr>
            <w:r>
              <w:rPr>
                <w:rFonts w:hint="eastAsia" w:ascii="仿宋_GB2312" w:hAnsi="仿宋_GB2312" w:eastAsia="仿宋_GB2312" w:cs="仿宋_GB2312"/>
                <w:bCs/>
                <w:color w:val="000000"/>
                <w:kern w:val="0"/>
                <w:sz w:val="28"/>
                <w:szCs w:val="28"/>
              </w:rPr>
              <w:t>其他</w:t>
            </w:r>
          </w:p>
        </w:tc>
        <w:tc>
          <w:tcPr>
            <w:tcW w:w="4114" w:type="dxa"/>
            <w:gridSpan w:val="2"/>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269" w:type="dxa"/>
            <w:vMerge w:val="restart"/>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color w:val="000000"/>
                <w:sz w:val="28"/>
                <w:szCs w:val="28"/>
              </w:rPr>
              <w:t>债权有无担保</w:t>
            </w:r>
          </w:p>
        </w:tc>
        <w:tc>
          <w:tcPr>
            <w:tcW w:w="1624" w:type="dxa"/>
            <w:vMerge w:val="restart"/>
            <w:vAlign w:val="center"/>
          </w:tcPr>
          <w:p>
            <w:pPr>
              <w:keepNext w:val="0"/>
              <w:keepLines w:val="0"/>
              <w:widowControl/>
              <w:suppressLineNumbers w:val="0"/>
              <w:spacing w:before="0" w:beforeAutospacing="0" w:after="160" w:afterAutospacing="0" w:line="276" w:lineRule="auto"/>
              <w:ind w:left="0" w:right="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有</w:t>
            </w:r>
          </w:p>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   无</w:t>
            </w:r>
          </w:p>
        </w:tc>
        <w:tc>
          <w:tcPr>
            <w:tcW w:w="7167" w:type="dxa"/>
            <w:gridSpan w:val="5"/>
            <w:vAlign w:val="center"/>
          </w:tcPr>
          <w:p>
            <w:pPr>
              <w:keepNext w:val="0"/>
              <w:keepLines w:val="0"/>
              <w:suppressLineNumbers w:val="0"/>
              <w:spacing w:before="0" w:beforeAutospacing="0" w:after="160" w:afterAutospacing="0" w:line="276" w:lineRule="auto"/>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rPr>
              <w:t>担保人名称：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sz w:val="28"/>
                <w:szCs w:val="28"/>
              </w:rPr>
            </w:pPr>
          </w:p>
        </w:tc>
        <w:tc>
          <w:tcPr>
            <w:tcW w:w="1624" w:type="dxa"/>
            <w:vMerge w:val="continue"/>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c>
          <w:tcPr>
            <w:tcW w:w="7167" w:type="dxa"/>
            <w:gridSpan w:val="5"/>
            <w:vAlign w:val="center"/>
          </w:tcPr>
          <w:p>
            <w:pPr>
              <w:keepNext w:val="0"/>
              <w:keepLines w:val="0"/>
              <w:suppressLineNumbers w:val="0"/>
              <w:spacing w:before="0" w:beforeAutospacing="0" w:after="160" w:afterAutospacing="0" w:line="276" w:lineRule="auto"/>
              <w:ind w:left="0" w:right="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rPr>
              <w:t>担保金额：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trPr>
        <w:tc>
          <w:tcPr>
            <w:tcW w:w="1269" w:type="dxa"/>
            <w:vMerge w:val="continue"/>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sz w:val="28"/>
                <w:szCs w:val="28"/>
              </w:rPr>
            </w:pPr>
          </w:p>
        </w:tc>
        <w:tc>
          <w:tcPr>
            <w:tcW w:w="1624" w:type="dxa"/>
            <w:vMerge w:val="continue"/>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p>
        </w:tc>
        <w:tc>
          <w:tcPr>
            <w:tcW w:w="7167" w:type="dxa"/>
            <w:gridSpan w:val="5"/>
            <w:vAlign w:val="center"/>
          </w:tcPr>
          <w:p>
            <w:pPr>
              <w:keepNext w:val="0"/>
              <w:keepLines w:val="0"/>
              <w:suppressLineNumbers w:val="0"/>
              <w:spacing w:before="0" w:beforeAutospacing="0" w:after="160" w:afterAutospacing="0" w:line="276" w:lineRule="auto"/>
              <w:ind w:left="0" w:right="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color w:val="000000"/>
                <w:kern w:val="0"/>
                <w:sz w:val="28"/>
                <w:szCs w:val="28"/>
              </w:rPr>
              <w:t>担保形式：□保证    □抵押    □质押    □</w:t>
            </w:r>
            <w:r>
              <w:rPr>
                <w:rFonts w:hint="eastAsia" w:ascii="仿宋_GB2312" w:hAnsi="仿宋_GB2312" w:eastAsia="仿宋_GB2312" w:cs="仿宋_GB2312"/>
                <w:color w:val="000000"/>
                <w:kern w:val="0"/>
                <w:sz w:val="28"/>
                <w:szCs w:val="28"/>
                <w:lang w:val="en-US" w:eastAsia="zh-CN"/>
              </w:rPr>
              <w:t>留置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0" w:hRule="atLeast"/>
        </w:trPr>
        <w:tc>
          <w:tcPr>
            <w:tcW w:w="126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有无连带债务人</w:t>
            </w:r>
          </w:p>
        </w:tc>
        <w:tc>
          <w:tcPr>
            <w:tcW w:w="1624" w:type="dxa"/>
            <w:vAlign w:val="center"/>
          </w:tcPr>
          <w:p>
            <w:pPr>
              <w:keepNext w:val="0"/>
              <w:keepLines w:val="0"/>
              <w:widowControl/>
              <w:suppressLineNumbers w:val="0"/>
              <w:spacing w:before="0" w:beforeAutospacing="0" w:after="160" w:afterAutospacing="0" w:line="276" w:lineRule="auto"/>
              <w:ind w:left="0" w:right="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有</w:t>
            </w:r>
          </w:p>
          <w:p>
            <w:pPr>
              <w:keepNext w:val="0"/>
              <w:keepLines w:val="0"/>
              <w:widowControl/>
              <w:suppressLineNumbers w:val="0"/>
              <w:spacing w:before="0" w:beforeAutospacing="0" w:after="160" w:afterAutospacing="0" w:line="276" w:lineRule="auto"/>
              <w:ind w:left="0" w:right="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无</w:t>
            </w:r>
          </w:p>
        </w:tc>
        <w:tc>
          <w:tcPr>
            <w:tcW w:w="1393" w:type="dxa"/>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连带债务人名称</w:t>
            </w:r>
          </w:p>
        </w:tc>
        <w:tc>
          <w:tcPr>
            <w:tcW w:w="5774" w:type="dxa"/>
            <w:gridSpan w:val="4"/>
            <w:vAlign w:val="center"/>
          </w:tcPr>
          <w:p>
            <w:pPr>
              <w:keepNext w:val="0"/>
              <w:keepLines w:val="0"/>
              <w:suppressLineNumbers w:val="0"/>
              <w:spacing w:before="0" w:beforeAutospacing="0" w:after="160" w:afterAutospacing="0" w:line="276" w:lineRule="auto"/>
              <w:ind w:left="0" w:right="0"/>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0" w:hRule="atLeast"/>
        </w:trPr>
        <w:tc>
          <w:tcPr>
            <w:tcW w:w="1269" w:type="dxa"/>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color w:val="000000"/>
                <w:sz w:val="28"/>
                <w:szCs w:val="28"/>
              </w:rPr>
              <w:t>有无诉讼、仲裁文书、公证文件</w:t>
            </w:r>
          </w:p>
        </w:tc>
        <w:tc>
          <w:tcPr>
            <w:tcW w:w="1624" w:type="dxa"/>
            <w:vAlign w:val="center"/>
          </w:tcPr>
          <w:p>
            <w:pPr>
              <w:keepNext w:val="0"/>
              <w:keepLines w:val="0"/>
              <w:widowControl/>
              <w:suppressLineNumbers w:val="0"/>
              <w:spacing w:before="0" w:beforeAutospacing="0" w:after="160" w:afterAutospacing="0" w:line="276" w:lineRule="auto"/>
              <w:ind w:left="0" w:right="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有</w:t>
            </w:r>
          </w:p>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   无</w:t>
            </w:r>
          </w:p>
        </w:tc>
        <w:tc>
          <w:tcPr>
            <w:tcW w:w="1393" w:type="dxa"/>
            <w:vAlign w:val="center"/>
          </w:tcPr>
          <w:p>
            <w:pPr>
              <w:keepNext w:val="0"/>
              <w:keepLines w:val="0"/>
              <w:suppressLineNumbers w:val="0"/>
              <w:spacing w:before="0" w:beforeAutospacing="0" w:after="160" w:afterAutospacing="0" w:line="276" w:lineRule="auto"/>
              <w:ind w:left="0" w:right="0"/>
              <w:jc w:val="center"/>
              <w:rPr>
                <w:rFonts w:hint="eastAsia" w:ascii="仿宋_GB2312" w:hAnsi="仿宋_GB2312" w:eastAsia="仿宋_GB2312" w:cs="仿宋_GB2312"/>
                <w:sz w:val="28"/>
                <w:szCs w:val="28"/>
              </w:rPr>
            </w:pPr>
            <w:r>
              <w:rPr>
                <w:rFonts w:hint="eastAsia" w:ascii="仿宋_GB2312" w:hAnsi="仿宋_GB2312" w:eastAsia="仿宋_GB2312" w:cs="仿宋_GB2312"/>
                <w:bCs/>
                <w:color w:val="000000"/>
                <w:sz w:val="28"/>
                <w:szCs w:val="28"/>
              </w:rPr>
              <w:t>文书号</w:t>
            </w:r>
          </w:p>
        </w:tc>
        <w:tc>
          <w:tcPr>
            <w:tcW w:w="5774" w:type="dxa"/>
            <w:gridSpan w:val="4"/>
            <w:vAlign w:val="center"/>
          </w:tcPr>
          <w:p>
            <w:pPr>
              <w:keepNext w:val="0"/>
              <w:keepLines w:val="0"/>
              <w:suppressLineNumbers w:val="0"/>
              <w:spacing w:before="0" w:beforeAutospacing="0" w:after="160" w:afterAutospacing="0" w:line="276" w:lineRule="auto"/>
              <w:ind w:left="0" w:right="0"/>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42" w:hRule="atLeast"/>
        </w:trPr>
        <w:tc>
          <w:tcPr>
            <w:tcW w:w="126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60" w:afterAutospacing="0" w:line="380" w:lineRule="exact"/>
              <w:ind w:left="0" w:right="0"/>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b/>
                <w:color w:val="000000"/>
                <w:sz w:val="28"/>
                <w:szCs w:val="28"/>
              </w:rPr>
              <w:t>债权形成的事实与理由</w:t>
            </w:r>
          </w:p>
        </w:tc>
        <w:tc>
          <w:tcPr>
            <w:tcW w:w="8791" w:type="dxa"/>
            <w:gridSpan w:val="6"/>
            <w:vAlign w:val="center"/>
          </w:tcPr>
          <w:p>
            <w:pPr>
              <w:keepNext w:val="0"/>
              <w:keepLines w:val="0"/>
              <w:suppressLineNumbers w:val="0"/>
              <w:spacing w:before="0" w:beforeAutospacing="0" w:after="160" w:afterAutospacing="0" w:line="276" w:lineRule="auto"/>
              <w:ind w:left="0" w:right="0"/>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说明债权形成的具体情况，包括但不限于债权发生的时间、原因、过程以及利息计算方法。</w:t>
            </w:r>
            <w:r>
              <w:rPr>
                <w:rFonts w:hint="eastAsia" w:ascii="仿宋_GB2312" w:hAnsi="仿宋_GB2312" w:eastAsia="仿宋_GB2312" w:cs="仿宋_GB2312"/>
                <w:sz w:val="28"/>
                <w:szCs w:val="28"/>
              </w:rPr>
              <w:t>（可另附页）</w:t>
            </w:r>
          </w:p>
          <w:p>
            <w:pPr>
              <w:keepNext w:val="0"/>
              <w:keepLines w:val="0"/>
              <w:widowControl/>
              <w:suppressLineNumbers w:val="0"/>
              <w:spacing w:before="0" w:beforeAutospacing="0" w:after="160" w:afterAutospacing="0" w:line="276" w:lineRule="auto"/>
              <w:ind w:left="0" w:right="0"/>
              <w:jc w:val="left"/>
              <w:rPr>
                <w:rFonts w:hint="eastAsia" w:ascii="仿宋_GB2312" w:hAnsi="仿宋_GB2312" w:eastAsia="仿宋_GB2312" w:cs="仿宋_GB2312"/>
                <w:color w:val="000000"/>
                <w:kern w:val="0"/>
                <w:sz w:val="28"/>
                <w:szCs w:val="28"/>
              </w:rPr>
            </w:pPr>
          </w:p>
          <w:p>
            <w:pPr>
              <w:keepNext w:val="0"/>
              <w:keepLines w:val="0"/>
              <w:suppressLineNumbers w:val="0"/>
              <w:spacing w:before="0" w:beforeAutospacing="0" w:after="160" w:afterAutospacing="0" w:line="276" w:lineRule="auto"/>
              <w:ind w:left="0" w:right="0"/>
              <w:rPr>
                <w:rFonts w:hint="eastAsia"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16" w:hRule="atLeast"/>
        </w:trPr>
        <w:tc>
          <w:tcPr>
            <w:tcW w:w="1269" w:type="dxa"/>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156" w:afterLines="50" w:afterAutospacing="0" w:line="380" w:lineRule="exact"/>
              <w:ind w:left="0" w:right="0"/>
              <w:jc w:val="center"/>
              <w:textAlignment w:val="auto"/>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val="en-US" w:eastAsia="zh-CN"/>
              </w:rPr>
              <w:t>申报人签名（盖章）</w:t>
            </w:r>
          </w:p>
        </w:tc>
        <w:tc>
          <w:tcPr>
            <w:tcW w:w="8791" w:type="dxa"/>
            <w:gridSpan w:val="6"/>
            <w:vAlign w:val="center"/>
          </w:tcPr>
          <w:p>
            <w:pPr>
              <w:keepNext w:val="0"/>
              <w:keepLines w:val="0"/>
              <w:suppressLineNumbers w:val="0"/>
              <w:spacing w:before="0" w:beforeAutospacing="0" w:after="156" w:afterLines="50" w:afterAutospacing="0" w:line="276" w:lineRule="auto"/>
              <w:ind w:left="0" w:right="0"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申报人签名：                          </w:t>
            </w:r>
            <w:r>
              <w:rPr>
                <w:rFonts w:hint="eastAsia" w:ascii="仿宋_GB2312" w:hAnsi="仿宋_GB2312" w:eastAsia="仿宋_GB2312" w:cs="仿宋_GB2312"/>
                <w:b/>
                <w:sz w:val="28"/>
                <w:szCs w:val="28"/>
              </w:rPr>
              <w:t xml:space="preserve">   年     月     日</w:t>
            </w:r>
          </w:p>
        </w:tc>
      </w:tr>
    </w:tbl>
    <w:p>
      <w:pPr>
        <w:pStyle w:val="2"/>
        <w:jc w:val="center"/>
        <w:rPr>
          <w:rFonts w:hint="eastAsia" w:ascii="黑体" w:hAnsi="黑体" w:eastAsia="黑体" w:cs="黑体"/>
          <w:b w:val="0"/>
          <w:bCs w:val="0"/>
          <w:sz w:val="44"/>
          <w:szCs w:val="44"/>
        </w:rPr>
      </w:pPr>
      <w:r>
        <w:rPr>
          <w:sz w:val="16"/>
        </w:rPr>
        <w:br w:type="page"/>
      </w:r>
      <w:r>
        <w:rPr>
          <w:rFonts w:hint="eastAsia" w:ascii="宋体" w:hAnsi="宋体"/>
          <w:lang w:val="en-US" w:eastAsia="zh-CN"/>
        </w:rPr>
        <w:t xml:space="preserve"> 3.</w:t>
      </w:r>
      <w:r>
        <w:rPr>
          <w:rFonts w:hint="eastAsia" w:ascii="黑体" w:hAnsi="黑体" w:eastAsia="黑体" w:cs="黑体"/>
          <w:b w:val="0"/>
          <w:bCs w:val="0"/>
          <w:sz w:val="44"/>
          <w:szCs w:val="44"/>
        </w:rPr>
        <w:t>授权委托书</w:t>
      </w:r>
    </w:p>
    <w:p>
      <w:pPr>
        <w:pStyle w:val="2"/>
        <w:rPr>
          <w:sz w:val="16"/>
          <w:szCs w:val="16"/>
        </w:rPr>
      </w:pPr>
    </w:p>
    <w:p>
      <w:pPr>
        <w:spacing w:line="360" w:lineRule="auto"/>
        <w:ind w:firstLine="557" w:firstLineChars="198"/>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委托人：</w:t>
      </w:r>
      <w:r>
        <w:rPr>
          <w:rFonts w:hint="eastAsia" w:ascii="仿宋_GB2312" w:hAnsi="仿宋_GB2312" w:eastAsia="仿宋_GB2312" w:cs="仿宋_GB2312"/>
          <w:b/>
          <w:bCs/>
          <w:sz w:val="28"/>
          <w:szCs w:val="28"/>
          <w:u w:val="single"/>
          <w:lang w:val="en-US" w:eastAsia="zh-CN"/>
        </w:rPr>
        <w:t xml:space="preserve">                         </w:t>
      </w:r>
    </w:p>
    <w:p>
      <w:pPr>
        <w:spacing w:line="360" w:lineRule="auto"/>
        <w:ind w:firstLine="554" w:firstLineChars="198"/>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法定代表人（自然人不填写）：</w:t>
      </w:r>
      <w:r>
        <w:rPr>
          <w:rFonts w:hint="eastAsia" w:ascii="仿宋_GB2312" w:hAnsi="仿宋_GB2312" w:eastAsia="仿宋_GB2312" w:cs="仿宋_GB2312"/>
          <w:sz w:val="28"/>
          <w:szCs w:val="28"/>
          <w:u w:val="single"/>
          <w:lang w:val="en-US" w:eastAsia="zh-CN"/>
        </w:rPr>
        <w:t xml:space="preserve">                        </w:t>
      </w:r>
    </w:p>
    <w:p>
      <w:pPr>
        <w:spacing w:line="360" w:lineRule="auto"/>
        <w:ind w:firstLine="554" w:firstLineChars="198"/>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住所地：</w:t>
      </w:r>
      <w:r>
        <w:rPr>
          <w:rFonts w:hint="eastAsia" w:ascii="仿宋_GB2312" w:hAnsi="仿宋_GB2312" w:eastAsia="仿宋_GB2312" w:cs="仿宋_GB2312"/>
          <w:sz w:val="28"/>
          <w:szCs w:val="28"/>
          <w:u w:val="single"/>
          <w:lang w:val="en-US" w:eastAsia="zh-CN"/>
        </w:rPr>
        <w:t xml:space="preserve">                           </w:t>
      </w:r>
    </w:p>
    <w:p>
      <w:pPr>
        <w:spacing w:line="360" w:lineRule="auto"/>
        <w:ind w:firstLine="557" w:firstLineChars="198"/>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受委托人姓名：</w:t>
      </w:r>
      <w:r>
        <w:rPr>
          <w:rFonts w:hint="eastAsia" w:ascii="仿宋_GB2312" w:hAnsi="仿宋_GB2312" w:eastAsia="仿宋_GB2312" w:cs="仿宋_GB2312"/>
          <w:b/>
          <w:bCs/>
          <w:sz w:val="28"/>
          <w:szCs w:val="28"/>
          <w:u w:val="single"/>
          <w:lang w:val="en-US" w:eastAsia="zh-CN"/>
        </w:rPr>
        <w:t xml:space="preserve">                     </w:t>
      </w:r>
      <w:r>
        <w:rPr>
          <w:rFonts w:hint="eastAsia" w:ascii="仿宋_GB2312" w:hAnsi="仿宋_GB2312" w:eastAsia="仿宋_GB2312" w:cs="仿宋_GB2312"/>
          <w:b/>
          <w:bCs/>
          <w:sz w:val="28"/>
          <w:szCs w:val="28"/>
        </w:rPr>
        <w:t xml:space="preserve">      </w:t>
      </w:r>
      <w:r>
        <w:rPr>
          <w:rFonts w:hint="eastAsia" w:ascii="仿宋_GB2312" w:hAnsi="仿宋_GB2312" w:eastAsia="仿宋_GB2312" w:cs="仿宋_GB2312"/>
          <w:sz w:val="28"/>
          <w:szCs w:val="28"/>
        </w:rPr>
        <w:t xml:space="preserve">         </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工作单位：</w:t>
      </w:r>
      <w:r>
        <w:rPr>
          <w:rFonts w:hint="eastAsia" w:ascii="仿宋_GB2312" w:hAnsi="仿宋_GB2312" w:eastAsia="仿宋_GB2312" w:cs="仿宋_GB2312"/>
          <w:sz w:val="28"/>
          <w:szCs w:val="28"/>
          <w:u w:val="single"/>
          <w:lang w:val="en-US" w:eastAsia="zh-CN"/>
        </w:rPr>
        <w:t xml:space="preserve">                         </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地址</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 xml:space="preserve"> </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电话： </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 xml:space="preserve"> </w:t>
      </w:r>
    </w:p>
    <w:p>
      <w:pPr>
        <w:spacing w:line="360" w:lineRule="auto"/>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委托人就</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u w:val="none"/>
          <w:lang w:val="en-US" w:eastAsia="zh-CN"/>
        </w:rPr>
        <w:t xml:space="preserve"> （破产清算/重整/和解）</w:t>
      </w:r>
      <w:r>
        <w:rPr>
          <w:rFonts w:hint="eastAsia" w:ascii="仿宋_GB2312" w:hAnsi="仿宋_GB2312" w:eastAsia="仿宋_GB2312" w:cs="仿宋_GB2312"/>
          <w:sz w:val="28"/>
          <w:szCs w:val="28"/>
        </w:rPr>
        <w:t>一案，特委托上述受委托人作为委托代理人，参加本案的</w:t>
      </w:r>
      <w:r>
        <w:rPr>
          <w:rFonts w:hint="eastAsia" w:ascii="仿宋_GB2312" w:hAnsi="仿宋_GB2312" w:eastAsia="仿宋_GB2312" w:cs="仿宋_GB2312"/>
          <w:sz w:val="28"/>
          <w:szCs w:val="28"/>
          <w:lang w:val="en-US" w:eastAsia="zh-CN"/>
        </w:rPr>
        <w:t>破产</w:t>
      </w:r>
      <w:r>
        <w:rPr>
          <w:rFonts w:hint="eastAsia" w:ascii="仿宋_GB2312" w:hAnsi="仿宋_GB2312" w:eastAsia="仿宋_GB2312" w:cs="仿宋_GB2312"/>
          <w:sz w:val="28"/>
          <w:szCs w:val="28"/>
        </w:rPr>
        <w:t>程序。受委托人的代理权限</w:t>
      </w:r>
      <w:r>
        <w:rPr>
          <w:rFonts w:hint="eastAsia" w:ascii="仿宋_GB2312" w:hAnsi="仿宋_GB2312" w:eastAsia="仿宋_GB2312" w:cs="仿宋_GB2312"/>
          <w:sz w:val="28"/>
          <w:szCs w:val="28"/>
          <w:lang w:val="en-US" w:eastAsia="zh-CN"/>
        </w:rPr>
        <w:t>如下</w:t>
      </w:r>
      <w:r>
        <w:rPr>
          <w:rFonts w:hint="eastAsia" w:ascii="仿宋_GB2312" w:hAnsi="仿宋_GB2312" w:eastAsia="仿宋_GB2312" w:cs="仿宋_GB2312"/>
          <w:sz w:val="28"/>
          <w:szCs w:val="28"/>
        </w:rPr>
        <w:t>：</w:t>
      </w:r>
    </w:p>
    <w:p>
      <w:pPr>
        <w:spacing w:line="360" w:lineRule="auto"/>
        <w:ind w:firstLine="60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代为向</w:t>
      </w:r>
      <w:r>
        <w:rPr>
          <w:rFonts w:hint="eastAsia" w:ascii="仿宋_GB2312" w:hAnsi="仿宋_GB2312" w:eastAsia="仿宋_GB2312" w:cs="仿宋_GB2312"/>
          <w:sz w:val="28"/>
          <w:szCs w:val="28"/>
          <w:lang w:val="en-US" w:eastAsia="zh-CN"/>
        </w:rPr>
        <w:t>管理人</w:t>
      </w:r>
      <w:r>
        <w:rPr>
          <w:rFonts w:hint="eastAsia" w:ascii="仿宋_GB2312" w:hAnsi="仿宋_GB2312" w:eastAsia="仿宋_GB2312" w:cs="仿宋_GB2312"/>
          <w:sz w:val="28"/>
          <w:szCs w:val="28"/>
        </w:rPr>
        <w:t>申报债权、提交相关文件及材料</w:t>
      </w:r>
      <w:r>
        <w:rPr>
          <w:rFonts w:hint="eastAsia" w:ascii="仿宋_GB2312" w:hAnsi="仿宋_GB2312" w:eastAsia="仿宋_GB2312" w:cs="仿宋_GB2312"/>
          <w:sz w:val="28"/>
          <w:szCs w:val="28"/>
          <w:lang w:eastAsia="zh-CN"/>
        </w:rPr>
        <w:t>；</w:t>
      </w:r>
    </w:p>
    <w:p>
      <w:pPr>
        <w:spacing w:line="360" w:lineRule="auto"/>
        <w:ind w:firstLine="602"/>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代为承认、变更、放弃债权请求；</w:t>
      </w:r>
    </w:p>
    <w:p>
      <w:pPr>
        <w:spacing w:line="360" w:lineRule="auto"/>
        <w:ind w:firstLine="60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代为参加债权人会议并行使表决权</w:t>
      </w:r>
      <w:r>
        <w:rPr>
          <w:rFonts w:hint="eastAsia" w:ascii="仿宋_GB2312" w:hAnsi="仿宋_GB2312" w:eastAsia="仿宋_GB2312" w:cs="仿宋_GB2312"/>
          <w:sz w:val="28"/>
          <w:szCs w:val="28"/>
          <w:lang w:eastAsia="zh-CN"/>
        </w:rPr>
        <w:t>；</w:t>
      </w:r>
    </w:p>
    <w:p>
      <w:pPr>
        <w:spacing w:line="360" w:lineRule="auto"/>
        <w:ind w:firstLine="602"/>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代为签署、递交、接收和转送有关清算程序的各类法律文件及材料；</w:t>
      </w:r>
    </w:p>
    <w:p>
      <w:pPr>
        <w:spacing w:line="360" w:lineRule="auto"/>
        <w:ind w:firstLine="602"/>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代为处理与本案有关的其他事务。</w:t>
      </w:r>
    </w:p>
    <w:p>
      <w:pPr>
        <w:spacing w:line="360" w:lineRule="auto"/>
        <w:rPr>
          <w:rFonts w:hint="eastAsia" w:ascii="仿宋_GB2312" w:hAnsi="仿宋_GB2312" w:eastAsia="仿宋_GB2312" w:cs="仿宋_GB2312"/>
          <w:sz w:val="28"/>
          <w:szCs w:val="28"/>
        </w:rPr>
      </w:pPr>
    </w:p>
    <w:p>
      <w:pPr>
        <w:spacing w:line="360" w:lineRule="auto"/>
        <w:ind w:firstLine="4200" w:firstLineChars="15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委托人（盖章/签字）：</w:t>
      </w:r>
    </w:p>
    <w:p>
      <w:pPr>
        <w:spacing w:line="360" w:lineRule="auto"/>
        <w:ind w:firstLine="5040" w:firstLineChars="18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E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TFangsong">
    <w:panose1 w:val="02010600040101010101"/>
    <w:charset w:val="86"/>
    <w:family w:val="auto"/>
    <w:pitch w:val="default"/>
    <w:sig w:usb0="00000287" w:usb1="080F0000" w:usb2="00000000" w:usb3="00000000" w:csb0="0004009F" w:csb1="DFD70000"/>
  </w:font>
  <w:font w:name="Heiti SC Medium">
    <w:panose1 w:val="02000000000000000000"/>
    <w:charset w:val="86"/>
    <w:family w:val="auto"/>
    <w:pitch w:val="default"/>
    <w:sig w:usb0="8000002F" w:usb1="0800004A" w:usb2="00000000" w:usb3="00000000" w:csb0="203E0000" w:csb1="00000000"/>
  </w:font>
  <w:font w:name="华文仿宋">
    <w:panose1 w:val="02010600040101010101"/>
    <w:charset w:val="86"/>
    <w:family w:val="auto"/>
    <w:pitch w:val="default"/>
    <w:sig w:usb0="00000287" w:usb1="080F0000" w:usb2="00000000" w:usb3="00000000" w:csb0="0004009F" w:csb1="DFD70000"/>
  </w:font>
  <w:font w:name="DejaVu Sans">
    <w:altName w:val="苹方-简"/>
    <w:panose1 w:val="02020603050405020304"/>
    <w:charset w:val="00"/>
    <w:family w:val="roman"/>
    <w:pitch w:val="default"/>
    <w:sig w:usb0="00000000" w:usb1="00000000" w:usb2="00000008" w:usb3="00000000" w:csb0="000001FF" w:csb1="00000000"/>
  </w:font>
  <w:font w:name="仿宋_GB2312">
    <w:panose1 w:val="02010609030101010101"/>
    <w:charset w:val="86"/>
    <w:family w:val="auto"/>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 w:name="苹方-简">
    <w:panose1 w:val="020B0400000000000000"/>
    <w:charset w:val="86"/>
    <w:family w:val="auto"/>
    <w:pitch w:val="default"/>
    <w:sig w:usb0="A00002FF" w:usb1="7ACFFDFB"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EDE5D00"/>
    <w:rsid w:val="07E74001"/>
    <w:rsid w:val="0D5FA0D9"/>
    <w:rsid w:val="12DE3137"/>
    <w:rsid w:val="167B7287"/>
    <w:rsid w:val="1AF63FE2"/>
    <w:rsid w:val="1D3574D4"/>
    <w:rsid w:val="1E7F8EE0"/>
    <w:rsid w:val="1EBF45C3"/>
    <w:rsid w:val="1EFF8387"/>
    <w:rsid w:val="1F39B2B7"/>
    <w:rsid w:val="1FEFA05C"/>
    <w:rsid w:val="21BF4B89"/>
    <w:rsid w:val="2369DAF9"/>
    <w:rsid w:val="2A272F63"/>
    <w:rsid w:val="2BFE2444"/>
    <w:rsid w:val="2DD9E9D3"/>
    <w:rsid w:val="2DE7400D"/>
    <w:rsid w:val="2FE913F8"/>
    <w:rsid w:val="2FFF9269"/>
    <w:rsid w:val="31EED52F"/>
    <w:rsid w:val="337F4F6B"/>
    <w:rsid w:val="33BF981F"/>
    <w:rsid w:val="3772FA10"/>
    <w:rsid w:val="377F7E46"/>
    <w:rsid w:val="37BC795A"/>
    <w:rsid w:val="37F7D480"/>
    <w:rsid w:val="37FFF581"/>
    <w:rsid w:val="399E9609"/>
    <w:rsid w:val="39CF8C68"/>
    <w:rsid w:val="3AD6966A"/>
    <w:rsid w:val="3AFD4C40"/>
    <w:rsid w:val="3B3122E2"/>
    <w:rsid w:val="3B6D1961"/>
    <w:rsid w:val="3BF6382D"/>
    <w:rsid w:val="3BFE5DFB"/>
    <w:rsid w:val="3BFF4399"/>
    <w:rsid w:val="3C6EDB95"/>
    <w:rsid w:val="3D65E681"/>
    <w:rsid w:val="3DE5728F"/>
    <w:rsid w:val="3DFFB187"/>
    <w:rsid w:val="3EBC139B"/>
    <w:rsid w:val="3F79E60C"/>
    <w:rsid w:val="3FB7CCA4"/>
    <w:rsid w:val="3FBDA0AE"/>
    <w:rsid w:val="3FBF5231"/>
    <w:rsid w:val="3FCC05B2"/>
    <w:rsid w:val="3FD7CFBB"/>
    <w:rsid w:val="3FDF60D8"/>
    <w:rsid w:val="3FDFC433"/>
    <w:rsid w:val="3FE9728B"/>
    <w:rsid w:val="3FEA8266"/>
    <w:rsid w:val="3FEFBD49"/>
    <w:rsid w:val="3FF32F2D"/>
    <w:rsid w:val="3FFB4899"/>
    <w:rsid w:val="3FFE993B"/>
    <w:rsid w:val="3FFF890B"/>
    <w:rsid w:val="43E9C111"/>
    <w:rsid w:val="49F774E3"/>
    <w:rsid w:val="4BFEBF02"/>
    <w:rsid w:val="4EDF38AE"/>
    <w:rsid w:val="4F572E0F"/>
    <w:rsid w:val="4F77F39B"/>
    <w:rsid w:val="4FFF1860"/>
    <w:rsid w:val="52F2A00F"/>
    <w:rsid w:val="55FD1ECD"/>
    <w:rsid w:val="57DF0C6B"/>
    <w:rsid w:val="57DFA29A"/>
    <w:rsid w:val="57EE93DC"/>
    <w:rsid w:val="57FF08E1"/>
    <w:rsid w:val="595F2820"/>
    <w:rsid w:val="5ADAB0E0"/>
    <w:rsid w:val="5BEF1ABC"/>
    <w:rsid w:val="5BFBB3B4"/>
    <w:rsid w:val="5CEF55AD"/>
    <w:rsid w:val="5CFEB1ED"/>
    <w:rsid w:val="5DA7DF36"/>
    <w:rsid w:val="5DF7DD79"/>
    <w:rsid w:val="5DFF70FD"/>
    <w:rsid w:val="5E3EC79C"/>
    <w:rsid w:val="5E7F8710"/>
    <w:rsid w:val="5EFFDB33"/>
    <w:rsid w:val="5F739DDE"/>
    <w:rsid w:val="5F7724ED"/>
    <w:rsid w:val="5FC5C8D5"/>
    <w:rsid w:val="5FFB5D1A"/>
    <w:rsid w:val="5FFF1CD5"/>
    <w:rsid w:val="5FFF39C3"/>
    <w:rsid w:val="611FA974"/>
    <w:rsid w:val="62BD949D"/>
    <w:rsid w:val="65E9B9FB"/>
    <w:rsid w:val="66F2E421"/>
    <w:rsid w:val="66F7BBF5"/>
    <w:rsid w:val="679FB986"/>
    <w:rsid w:val="67F6FEF4"/>
    <w:rsid w:val="67FF6349"/>
    <w:rsid w:val="68EBBB10"/>
    <w:rsid w:val="68FD6CE8"/>
    <w:rsid w:val="6BE6A509"/>
    <w:rsid w:val="6BFB954E"/>
    <w:rsid w:val="6CD55F09"/>
    <w:rsid w:val="6CF908E2"/>
    <w:rsid w:val="6DF9155C"/>
    <w:rsid w:val="6F77C472"/>
    <w:rsid w:val="6FAD2DF5"/>
    <w:rsid w:val="6FEA5101"/>
    <w:rsid w:val="6FF1C5B6"/>
    <w:rsid w:val="6FFDADFA"/>
    <w:rsid w:val="719BA44A"/>
    <w:rsid w:val="72253D73"/>
    <w:rsid w:val="725FE02C"/>
    <w:rsid w:val="73BDD750"/>
    <w:rsid w:val="73F63E59"/>
    <w:rsid w:val="74FEE098"/>
    <w:rsid w:val="74FFA7CC"/>
    <w:rsid w:val="75A6F74B"/>
    <w:rsid w:val="75BE027D"/>
    <w:rsid w:val="75E7426E"/>
    <w:rsid w:val="75FF8FE6"/>
    <w:rsid w:val="75FFFDAD"/>
    <w:rsid w:val="76B78DEB"/>
    <w:rsid w:val="7763C5AB"/>
    <w:rsid w:val="776E2895"/>
    <w:rsid w:val="777B4E19"/>
    <w:rsid w:val="778FEA29"/>
    <w:rsid w:val="77ABC9B8"/>
    <w:rsid w:val="77AF07C6"/>
    <w:rsid w:val="77D5BC8A"/>
    <w:rsid w:val="77DE14D3"/>
    <w:rsid w:val="77ED1568"/>
    <w:rsid w:val="77ED72F2"/>
    <w:rsid w:val="77F613ED"/>
    <w:rsid w:val="77FEF08F"/>
    <w:rsid w:val="786F95F2"/>
    <w:rsid w:val="797B48C4"/>
    <w:rsid w:val="79DD99B1"/>
    <w:rsid w:val="79EB9625"/>
    <w:rsid w:val="79EDA6FC"/>
    <w:rsid w:val="79FBA34A"/>
    <w:rsid w:val="7A5A6ADF"/>
    <w:rsid w:val="7AF9F34D"/>
    <w:rsid w:val="7AFF671F"/>
    <w:rsid w:val="7B231737"/>
    <w:rsid w:val="7B7D5496"/>
    <w:rsid w:val="7B7DDF2E"/>
    <w:rsid w:val="7B7E58BD"/>
    <w:rsid w:val="7B9F2DAE"/>
    <w:rsid w:val="7BAFFF42"/>
    <w:rsid w:val="7BBB47E6"/>
    <w:rsid w:val="7BC5758F"/>
    <w:rsid w:val="7BEB39BB"/>
    <w:rsid w:val="7BF47F77"/>
    <w:rsid w:val="7BFBD319"/>
    <w:rsid w:val="7C5B9425"/>
    <w:rsid w:val="7C670995"/>
    <w:rsid w:val="7CF7F19D"/>
    <w:rsid w:val="7CFCCF46"/>
    <w:rsid w:val="7D3FE15C"/>
    <w:rsid w:val="7D4BE1BC"/>
    <w:rsid w:val="7D7F95C4"/>
    <w:rsid w:val="7DAE1F22"/>
    <w:rsid w:val="7DB3641F"/>
    <w:rsid w:val="7DB79B4B"/>
    <w:rsid w:val="7DBF63EB"/>
    <w:rsid w:val="7DD518B2"/>
    <w:rsid w:val="7DDDE464"/>
    <w:rsid w:val="7DEFCBCD"/>
    <w:rsid w:val="7DF55753"/>
    <w:rsid w:val="7DF58BC4"/>
    <w:rsid w:val="7DFBA709"/>
    <w:rsid w:val="7DFDA381"/>
    <w:rsid w:val="7DFF4B5E"/>
    <w:rsid w:val="7DFFFECD"/>
    <w:rsid w:val="7E5FB72A"/>
    <w:rsid w:val="7E739CA1"/>
    <w:rsid w:val="7EB718E5"/>
    <w:rsid w:val="7EB7F6CE"/>
    <w:rsid w:val="7EBB6D5A"/>
    <w:rsid w:val="7EBFECB1"/>
    <w:rsid w:val="7EE7DB6A"/>
    <w:rsid w:val="7EF341B6"/>
    <w:rsid w:val="7EF54CA6"/>
    <w:rsid w:val="7EF5986A"/>
    <w:rsid w:val="7EF9B79F"/>
    <w:rsid w:val="7F1FA400"/>
    <w:rsid w:val="7F3E70B8"/>
    <w:rsid w:val="7F7A0FDD"/>
    <w:rsid w:val="7F7D9037"/>
    <w:rsid w:val="7F7FB54E"/>
    <w:rsid w:val="7F9F177A"/>
    <w:rsid w:val="7FAD8904"/>
    <w:rsid w:val="7FB553AC"/>
    <w:rsid w:val="7FBE14E7"/>
    <w:rsid w:val="7FBF0EA0"/>
    <w:rsid w:val="7FBF68C5"/>
    <w:rsid w:val="7FC78E39"/>
    <w:rsid w:val="7FDD7A53"/>
    <w:rsid w:val="7FE54C67"/>
    <w:rsid w:val="7FEE938E"/>
    <w:rsid w:val="7FEFA7DF"/>
    <w:rsid w:val="7FF1C07F"/>
    <w:rsid w:val="7FF6F895"/>
    <w:rsid w:val="7FF75F4F"/>
    <w:rsid w:val="7FF9125B"/>
    <w:rsid w:val="7FFDE83E"/>
    <w:rsid w:val="7FFE667F"/>
    <w:rsid w:val="7FFF26C5"/>
    <w:rsid w:val="833F4B58"/>
    <w:rsid w:val="8AF5A0FA"/>
    <w:rsid w:val="8F5FABBB"/>
    <w:rsid w:val="97D7E315"/>
    <w:rsid w:val="98FB4C00"/>
    <w:rsid w:val="9B9F6CFA"/>
    <w:rsid w:val="9DC7C703"/>
    <w:rsid w:val="9DEBBD72"/>
    <w:rsid w:val="9F3E44B4"/>
    <w:rsid w:val="9F7FE5DF"/>
    <w:rsid w:val="9FCBABC3"/>
    <w:rsid w:val="9FEEEDD6"/>
    <w:rsid w:val="9FFE616A"/>
    <w:rsid w:val="A4BC0F1A"/>
    <w:rsid w:val="A7D301F1"/>
    <w:rsid w:val="A7DD0C2E"/>
    <w:rsid w:val="ACFD9D89"/>
    <w:rsid w:val="ADFE39C8"/>
    <w:rsid w:val="AF754CF9"/>
    <w:rsid w:val="AFB50E73"/>
    <w:rsid w:val="AFE57A9C"/>
    <w:rsid w:val="B0A9D3EA"/>
    <w:rsid w:val="B17EF0A0"/>
    <w:rsid w:val="B3E3E1FC"/>
    <w:rsid w:val="B3FB5136"/>
    <w:rsid w:val="B7343982"/>
    <w:rsid w:val="B77E56F3"/>
    <w:rsid w:val="B7EB2F71"/>
    <w:rsid w:val="B7F754D6"/>
    <w:rsid w:val="B7FF8CF7"/>
    <w:rsid w:val="BA9A4E2E"/>
    <w:rsid w:val="BBBF78D3"/>
    <w:rsid w:val="BBF3B03D"/>
    <w:rsid w:val="BBFD884E"/>
    <w:rsid w:val="BDDA3996"/>
    <w:rsid w:val="BDEBE0F4"/>
    <w:rsid w:val="BDEE2CFD"/>
    <w:rsid w:val="BDFF5A98"/>
    <w:rsid w:val="BE9E196E"/>
    <w:rsid w:val="BEEDF245"/>
    <w:rsid w:val="BEEF73EC"/>
    <w:rsid w:val="BEF59603"/>
    <w:rsid w:val="BF3BD0A0"/>
    <w:rsid w:val="BF6FA7BA"/>
    <w:rsid w:val="BFBFD95E"/>
    <w:rsid w:val="BFEF29FD"/>
    <w:rsid w:val="C3594123"/>
    <w:rsid w:val="C79E3C9A"/>
    <w:rsid w:val="CBABD785"/>
    <w:rsid w:val="CFFAD67D"/>
    <w:rsid w:val="D578EA66"/>
    <w:rsid w:val="D5EE1808"/>
    <w:rsid w:val="D6BE1562"/>
    <w:rsid w:val="D7EFD1AC"/>
    <w:rsid w:val="DADF88EA"/>
    <w:rsid w:val="DB3C3CF4"/>
    <w:rsid w:val="DB67D83E"/>
    <w:rsid w:val="DBBDCC30"/>
    <w:rsid w:val="DBF9FB81"/>
    <w:rsid w:val="DBFFB390"/>
    <w:rsid w:val="DDD79A8C"/>
    <w:rsid w:val="DDEAF923"/>
    <w:rsid w:val="DDFFD738"/>
    <w:rsid w:val="DE7F028A"/>
    <w:rsid w:val="DEC7C79C"/>
    <w:rsid w:val="DED6FA93"/>
    <w:rsid w:val="DEFFCB08"/>
    <w:rsid w:val="DFB962D8"/>
    <w:rsid w:val="DFDF0932"/>
    <w:rsid w:val="DFED0BFF"/>
    <w:rsid w:val="DFF3C9D0"/>
    <w:rsid w:val="DFF70F1F"/>
    <w:rsid w:val="DFFD462A"/>
    <w:rsid w:val="E2B28C72"/>
    <w:rsid w:val="E3DD18A0"/>
    <w:rsid w:val="E47C81A2"/>
    <w:rsid w:val="E77DFE20"/>
    <w:rsid w:val="E7DD45DC"/>
    <w:rsid w:val="E7EF364B"/>
    <w:rsid w:val="E7F8BB9A"/>
    <w:rsid w:val="E7FBCC39"/>
    <w:rsid w:val="E9EFB8C8"/>
    <w:rsid w:val="E9FFF35B"/>
    <w:rsid w:val="EBEDD70C"/>
    <w:rsid w:val="EBFDCE3C"/>
    <w:rsid w:val="ECFF79AB"/>
    <w:rsid w:val="ED7E255C"/>
    <w:rsid w:val="ED7F8085"/>
    <w:rsid w:val="EDDB8DCE"/>
    <w:rsid w:val="EDFD8F14"/>
    <w:rsid w:val="EECF0B7B"/>
    <w:rsid w:val="EF2786CC"/>
    <w:rsid w:val="EF78C21F"/>
    <w:rsid w:val="EF7F4108"/>
    <w:rsid w:val="EFAF1BF2"/>
    <w:rsid w:val="EFB36079"/>
    <w:rsid w:val="EFC699BB"/>
    <w:rsid w:val="EFC73EB0"/>
    <w:rsid w:val="EFDF0821"/>
    <w:rsid w:val="EFDF8FC9"/>
    <w:rsid w:val="EFFF61CD"/>
    <w:rsid w:val="EFFFCBC4"/>
    <w:rsid w:val="F1FDD7C5"/>
    <w:rsid w:val="F2BDD9C7"/>
    <w:rsid w:val="F37F1158"/>
    <w:rsid w:val="F3F73106"/>
    <w:rsid w:val="F54EB5E8"/>
    <w:rsid w:val="F5EF5C49"/>
    <w:rsid w:val="F66E9387"/>
    <w:rsid w:val="F73316B9"/>
    <w:rsid w:val="F777509F"/>
    <w:rsid w:val="F77FAC2C"/>
    <w:rsid w:val="F7AB1040"/>
    <w:rsid w:val="F7DFADEE"/>
    <w:rsid w:val="F7FB075D"/>
    <w:rsid w:val="F86AACA2"/>
    <w:rsid w:val="F96DEF93"/>
    <w:rsid w:val="F9B4BAF4"/>
    <w:rsid w:val="FA7FB714"/>
    <w:rsid w:val="FADDCD65"/>
    <w:rsid w:val="FBEEEDBC"/>
    <w:rsid w:val="FCEEE29D"/>
    <w:rsid w:val="FD0F9B54"/>
    <w:rsid w:val="FD1FE262"/>
    <w:rsid w:val="FD728D59"/>
    <w:rsid w:val="FD7DA36A"/>
    <w:rsid w:val="FDADCA9C"/>
    <w:rsid w:val="FDB6568B"/>
    <w:rsid w:val="FDBBEFD4"/>
    <w:rsid w:val="FDBE6A63"/>
    <w:rsid w:val="FDEC1758"/>
    <w:rsid w:val="FDEF5770"/>
    <w:rsid w:val="FDFA4EAB"/>
    <w:rsid w:val="FDFBF150"/>
    <w:rsid w:val="FDFD85B4"/>
    <w:rsid w:val="FDFFA15C"/>
    <w:rsid w:val="FE3D8372"/>
    <w:rsid w:val="FE3FF43C"/>
    <w:rsid w:val="FE5A27D0"/>
    <w:rsid w:val="FEA7569E"/>
    <w:rsid w:val="FED79E58"/>
    <w:rsid w:val="FEDA2641"/>
    <w:rsid w:val="FEDE405A"/>
    <w:rsid w:val="FEDE5D00"/>
    <w:rsid w:val="FEEFA78C"/>
    <w:rsid w:val="FEFFE835"/>
    <w:rsid w:val="FF789060"/>
    <w:rsid w:val="FF7FB7FE"/>
    <w:rsid w:val="FFBF6177"/>
    <w:rsid w:val="FFCB8C81"/>
    <w:rsid w:val="FFCC4CB0"/>
    <w:rsid w:val="FFCD6066"/>
    <w:rsid w:val="FFDD53EF"/>
    <w:rsid w:val="FFF32ED0"/>
    <w:rsid w:val="FFF75E5A"/>
    <w:rsid w:val="FFF78E13"/>
    <w:rsid w:val="FFF80EE4"/>
    <w:rsid w:val="FFF96DCE"/>
    <w:rsid w:val="FFFB1AA7"/>
    <w:rsid w:val="FFFB54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unhideWhenUsed/>
    <w:qFormat/>
    <w:uiPriority w:val="0"/>
    <w:pPr>
      <w:keepNext/>
      <w:keepLines/>
      <w:spacing w:line="520" w:lineRule="exact"/>
      <w:ind w:firstLine="643" w:firstLineChars="200"/>
      <w:outlineLvl w:val="2"/>
    </w:pPr>
    <w:rPr>
      <w:rFonts w:ascii="STFangsong" w:hAnsi="STFangsong" w:eastAsia="STFangsong"/>
      <w:b/>
      <w:sz w:val="28"/>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customStyle="1" w:styleId="13">
    <w:name w:val="正常"/>
    <w:qFormat/>
    <w:uiPriority w:val="0"/>
    <w:rPr>
      <w:rFonts w:ascii="Calibri" w:hAnsi="Calibri" w:eastAsia="宋体" w:cs="Times New Roman"/>
      <w:kern w:val="0"/>
      <w:sz w:val="24"/>
      <w:szCs w:val="24"/>
      <w:lang w:val="en-US" w:eastAsia="en-US" w:bidi="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Office_6.3.0.8471_F1E327BC-269C-435d-A152-05C5408002CA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2026-03-03T00:43:00Z</dcterms:created>
  <dc:creator>袁新婷</dc:creator>
  <cp:lastModifiedBy>袁新婷</cp:lastModifiedBy>
  <dcterms:modified xsi:type="dcterms:W3CDTF">2026-11-03T16:24:24Z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2052-6.3.0.8471</vt:lpwstr>
  </property>
  <property fmtid="{D5CDD505-2E9C-101B-9397-08002B2CF9AE}" pid="3" name="ICV">
    <vt:lpwstr>A3EEE357EE02959E3789E96ACD447270_43</vt:lpwstr>
  </property>
</Properties>
</file>