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C08B91">
      <w:pPr>
        <w:rPr>
          <w:rFonts w:ascii="Times New Roman" w:hAnsi="Times New Roman"/>
          <w:b/>
          <w:color w:val="333399"/>
          <w:sz w:val="44"/>
          <w:szCs w:val="44"/>
        </w:rPr>
      </w:pPr>
    </w:p>
    <w:p w14:paraId="3F20A2C9">
      <w:pPr>
        <w:ind w:firstLine="442" w:firstLineChars="100"/>
        <w:rPr>
          <w:rFonts w:ascii="Times New Roman" w:hAnsi="Times New Roman"/>
          <w:b/>
          <w:color w:val="333399"/>
          <w:sz w:val="44"/>
          <w:szCs w:val="44"/>
        </w:rPr>
      </w:pPr>
    </w:p>
    <w:p w14:paraId="19DEFAD9">
      <w:pPr>
        <w:ind w:firstLine="442" w:firstLineChars="100"/>
        <w:rPr>
          <w:rFonts w:ascii="Times New Roman" w:hAnsi="Times New Roman"/>
          <w:b/>
          <w:color w:val="333399"/>
          <w:sz w:val="44"/>
          <w:szCs w:val="44"/>
        </w:rPr>
      </w:pPr>
      <w:r>
        <w:rPr>
          <w:rFonts w:ascii="Times New Roman" w:hAnsi="Times New Roman" w:eastAsia="黑体"/>
          <w:b/>
          <w:bCs/>
          <w:sz w:val="44"/>
          <w:szCs w:val="44"/>
        </w:rPr>
        <w:drawing>
          <wp:anchor distT="0" distB="0" distL="114300" distR="114300" simplePos="0" relativeHeight="251662336" behindDoc="0" locked="0" layoutInCell="1" allowOverlap="1">
            <wp:simplePos x="0" y="0"/>
            <wp:positionH relativeFrom="column">
              <wp:posOffset>319405</wp:posOffset>
            </wp:positionH>
            <wp:positionV relativeFrom="paragraph">
              <wp:posOffset>175895</wp:posOffset>
            </wp:positionV>
            <wp:extent cx="928370" cy="893445"/>
            <wp:effectExtent l="0" t="0" r="11430" b="20955"/>
            <wp:wrapSquare wrapText="bothSides"/>
            <wp:docPr id="1" name="图片 4" descr="8b033dc616ee12e8505e16acb99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 descr="8b033dc616ee12e8505e16acb991300"/>
                    <pic:cNvPicPr>
                      <a:picLocks noChangeAspect="1"/>
                    </pic:cNvPicPr>
                  </pic:nvPicPr>
                  <pic:blipFill>
                    <a:blip r:embed="rId7"/>
                    <a:stretch>
                      <a:fillRect/>
                    </a:stretch>
                  </pic:blipFill>
                  <pic:spPr>
                    <a:xfrm>
                      <a:off x="0" y="0"/>
                      <a:ext cx="928370" cy="893445"/>
                    </a:xfrm>
                    <a:prstGeom prst="rect">
                      <a:avLst/>
                    </a:prstGeom>
                    <a:noFill/>
                    <a:ln>
                      <a:noFill/>
                    </a:ln>
                  </pic:spPr>
                </pic:pic>
              </a:graphicData>
            </a:graphic>
          </wp:anchor>
        </w:drawing>
      </w:r>
    </w:p>
    <w:p w14:paraId="7227CE6B">
      <w:pPr>
        <w:rPr>
          <w:rFonts w:ascii="Times New Roman" w:hAnsi="Times New Roman" w:eastAsia="黑体"/>
          <w:b/>
          <w:sz w:val="30"/>
          <w:szCs w:val="30"/>
        </w:rPr>
      </w:pPr>
      <w:r>
        <w:rPr>
          <w:rFonts w:ascii="Times New Roman" w:hAnsi="Times New Roman" w:eastAsia="黑体"/>
          <w:b/>
          <w:color w:val="333399"/>
          <w:sz w:val="30"/>
          <w:szCs w:val="30"/>
        </w:rPr>
        <w:t>辽宁省律师协会金融与保险法律专业委员会</w:t>
      </w:r>
    </w:p>
    <w:p w14:paraId="4F5E5B6E">
      <w:pPr>
        <w:spacing w:after="156" w:afterLines="50" w:line="360" w:lineRule="auto"/>
        <w:rPr>
          <w:rFonts w:ascii="Times New Roman" w:hAnsi="Times New Roman"/>
          <w:b/>
          <w:color w:val="333399"/>
        </w:rPr>
      </w:pPr>
    </w:p>
    <w:p w14:paraId="67260F84">
      <w:pPr>
        <w:spacing w:after="156" w:afterLines="50" w:line="360" w:lineRule="auto"/>
        <w:rPr>
          <w:rFonts w:ascii="Times New Roman" w:hAnsi="Times New Roman"/>
          <w:b/>
          <w:color w:val="333399"/>
        </w:rPr>
      </w:pPr>
      <w:r>
        <w:rPr>
          <w:rFonts w:ascii="Times New Roman" w:hAnsi="Times New Roman"/>
          <w:b/>
          <w:color w:val="333399"/>
        </w:rPr>
        <w:drawing>
          <wp:anchor distT="0" distB="0" distL="114300" distR="114300" simplePos="0" relativeHeight="251661312" behindDoc="1" locked="0" layoutInCell="1" allowOverlap="1">
            <wp:simplePos x="0" y="0"/>
            <wp:positionH relativeFrom="column">
              <wp:posOffset>263525</wp:posOffset>
            </wp:positionH>
            <wp:positionV relativeFrom="paragraph">
              <wp:posOffset>27940</wp:posOffset>
            </wp:positionV>
            <wp:extent cx="1045210" cy="1104900"/>
            <wp:effectExtent l="0" t="0" r="21590" b="12700"/>
            <wp:wrapTight wrapText="bothSides">
              <wp:wrapPolygon>
                <wp:start x="0" y="0"/>
                <wp:lineTo x="0" y="21352"/>
                <wp:lineTo x="20996" y="21352"/>
                <wp:lineTo x="20996" y="0"/>
                <wp:lineTo x="0" y="0"/>
              </wp:wrapPolygon>
            </wp:wrapTight>
            <wp:docPr id="3" name="图片 3" descr="d994e31e110a342b033d5f285961d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d994e31e110a342b033d5f285961dae"/>
                    <pic:cNvPicPr>
                      <a:picLocks noChangeAspect="1"/>
                    </pic:cNvPicPr>
                  </pic:nvPicPr>
                  <pic:blipFill>
                    <a:blip r:embed="rId8"/>
                    <a:srcRect l="11789" r="12602" b="3822"/>
                    <a:stretch>
                      <a:fillRect/>
                    </a:stretch>
                  </pic:blipFill>
                  <pic:spPr>
                    <a:xfrm>
                      <a:off x="0" y="0"/>
                      <a:ext cx="1045210" cy="1104900"/>
                    </a:xfrm>
                    <a:prstGeom prst="rect">
                      <a:avLst/>
                    </a:prstGeom>
                    <a:noFill/>
                    <a:ln>
                      <a:noFill/>
                    </a:ln>
                  </pic:spPr>
                </pic:pic>
              </a:graphicData>
            </a:graphic>
          </wp:anchor>
        </w:drawing>
      </w:r>
    </w:p>
    <w:p w14:paraId="41CCFC1E">
      <w:pPr>
        <w:rPr>
          <w:rFonts w:ascii="Times New Roman" w:hAnsi="Times New Roman" w:eastAsia="黑体"/>
          <w:b/>
          <w:color w:val="333399"/>
          <w:sz w:val="30"/>
          <w:szCs w:val="30"/>
        </w:rPr>
      </w:pPr>
      <w:r>
        <w:rPr>
          <w:rFonts w:ascii="Times New Roman" w:hAnsi="Times New Roman" w:eastAsia="黑体"/>
          <w:b/>
          <w:color w:val="333399"/>
          <w:sz w:val="30"/>
          <w:szCs w:val="30"/>
        </w:rPr>
        <w:t>大连市律师协会证券期货法律专业委员会</w:t>
      </w:r>
    </w:p>
    <w:p w14:paraId="53C73EB9">
      <w:pPr>
        <w:ind w:firstLine="442" w:firstLineChars="100"/>
        <w:rPr>
          <w:rFonts w:ascii="Times New Roman" w:hAnsi="Times New Roman"/>
          <w:b/>
          <w:color w:val="333399"/>
          <w:sz w:val="44"/>
          <w:szCs w:val="44"/>
        </w:rPr>
      </w:pPr>
    </w:p>
    <w:p w14:paraId="55B4E106">
      <w:pPr>
        <w:jc w:val="center"/>
        <w:rPr>
          <w:rFonts w:ascii="Times New Roman" w:hAnsi="Times New Roman" w:eastAsia="黑体"/>
          <w:b/>
          <w:color w:val="FF0000"/>
          <w:sz w:val="52"/>
          <w:szCs w:val="52"/>
        </w:rPr>
      </w:pPr>
      <w:r>
        <w:rPr>
          <w:rFonts w:ascii="Times New Roman" w:hAnsi="Times New Roman" w:eastAsia="黑体"/>
          <w:b/>
          <w:color w:val="FF0000"/>
          <w:sz w:val="52"/>
          <w:szCs w:val="52"/>
        </w:rPr>
        <w:t>资本市场信息</w:t>
      </w:r>
    </w:p>
    <w:p w14:paraId="6C95DF36">
      <w:pPr>
        <w:jc w:val="center"/>
        <w:rPr>
          <w:rFonts w:ascii="Times New Roman" w:hAnsi="Times New Roman"/>
          <w:b/>
          <w:sz w:val="32"/>
          <w:szCs w:val="32"/>
        </w:rPr>
      </w:pPr>
    </w:p>
    <w:p w14:paraId="60B8115D">
      <w:pPr>
        <w:spacing w:line="480" w:lineRule="auto"/>
        <w:jc w:val="center"/>
        <w:rPr>
          <w:rFonts w:ascii="Times New Roman" w:hAnsi="Times New Roman" w:eastAsia="黑体"/>
          <w:b/>
          <w:bCs/>
        </w:rPr>
      </w:pPr>
      <w:r>
        <w:rPr>
          <w:rFonts w:ascii="Times New Roman" w:hAnsi="Times New Roman" w:eastAsia="黑体"/>
          <w:b/>
          <w:bCs/>
        </w:rPr>
        <w:t>202</w:t>
      </w:r>
      <w:r>
        <w:rPr>
          <w:rFonts w:hint="eastAsia" w:ascii="Times New Roman" w:hAnsi="Times New Roman" w:eastAsia="黑体"/>
          <w:b/>
          <w:bCs/>
        </w:rPr>
        <w:t>6</w:t>
      </w:r>
      <w:r>
        <w:rPr>
          <w:rFonts w:ascii="Times New Roman" w:hAnsi="Times New Roman" w:eastAsia="黑体"/>
          <w:b/>
          <w:bCs/>
        </w:rPr>
        <w:t>年第</w:t>
      </w:r>
      <w:r>
        <w:rPr>
          <w:rFonts w:hint="eastAsia" w:ascii="Times New Roman" w:hAnsi="Times New Roman" w:eastAsia="黑体"/>
          <w:b/>
          <w:bCs/>
        </w:rPr>
        <w:t>7</w:t>
      </w:r>
      <w:r>
        <w:rPr>
          <w:rFonts w:ascii="Times New Roman" w:hAnsi="Times New Roman" w:eastAsia="黑体"/>
          <w:b/>
          <w:bCs/>
        </w:rPr>
        <w:t>期</w:t>
      </w:r>
    </w:p>
    <w:p w14:paraId="4785AECD">
      <w:pPr>
        <w:spacing w:line="480" w:lineRule="auto"/>
        <w:jc w:val="center"/>
        <w:rPr>
          <w:rFonts w:ascii="Times New Roman" w:hAnsi="Times New Roman" w:eastAsia="黑体"/>
          <w:b/>
          <w:bCs/>
        </w:rPr>
      </w:pPr>
      <w:r>
        <mc:AlternateContent>
          <mc:Choice Requires="wps">
            <w:drawing>
              <wp:anchor distT="0" distB="0" distL="114300" distR="114300" simplePos="0" relativeHeight="251660288" behindDoc="0" locked="0" layoutInCell="1" allowOverlap="1">
                <wp:simplePos x="0" y="0"/>
                <wp:positionH relativeFrom="margin">
                  <wp:posOffset>89535</wp:posOffset>
                </wp:positionH>
                <wp:positionV relativeFrom="paragraph">
                  <wp:posOffset>2434590</wp:posOffset>
                </wp:positionV>
                <wp:extent cx="5674360" cy="1234440"/>
                <wp:effectExtent l="6350" t="6350" r="8890" b="29210"/>
                <wp:wrapSquare wrapText="bothSides"/>
                <wp:docPr id="5" name="文本框 5"/>
                <wp:cNvGraphicFramePr/>
                <a:graphic xmlns:a="http://schemas.openxmlformats.org/drawingml/2006/main">
                  <a:graphicData uri="http://schemas.microsoft.com/office/word/2010/wordprocessingShape">
                    <wps:wsp>
                      <wps:cNvSpPr txBox="1"/>
                      <wps:spPr>
                        <a:xfrm>
                          <a:off x="0" y="0"/>
                          <a:ext cx="5674360" cy="1234440"/>
                        </a:xfrm>
                        <a:prstGeom prst="rect">
                          <a:avLst/>
                        </a:prstGeom>
                        <a:solidFill>
                          <a:srgbClr val="FFFFFF"/>
                        </a:solidFill>
                        <a:ln w="12700" cap="flat" cmpd="sng">
                          <a:solidFill>
                            <a:srgbClr val="1313AD"/>
                          </a:solidFill>
                          <a:prstDash val="solid"/>
                          <a:miter/>
                          <a:headEnd type="none" w="med" len="med"/>
                          <a:tailEnd type="none" w="med" len="med"/>
                        </a:ln>
                      </wps:spPr>
                      <wps:txbx>
                        <w:txbxContent>
                          <w:p w14:paraId="34F55977">
                            <w:pPr>
                              <w:rPr>
                                <w:rFonts w:ascii="黑体" w:hAnsi="黑体" w:eastAsia="黑体" w:cs="黑体"/>
                                <w:b/>
                                <w:color w:val="333399"/>
                                <w:sz w:val="21"/>
                                <w:szCs w:val="21"/>
                              </w:rPr>
                            </w:pPr>
                            <w:r>
                              <w:rPr>
                                <w:rFonts w:hint="eastAsia" w:ascii="黑体" w:hAnsi="黑体" w:eastAsia="黑体" w:cs="黑体"/>
                                <w:b/>
                                <w:color w:val="333399"/>
                                <w:sz w:val="21"/>
                                <w:szCs w:val="21"/>
                              </w:rPr>
                              <w:t>特别声明：本信息简报所载内容均来自国内报刊、专业网站已发表的文章。在任何情形下，本信息简报均不可作为法律意见、作出行动或制止行动的依据。</w:t>
                            </w:r>
                          </w:p>
                          <w:p w14:paraId="7C352790">
                            <w:pPr>
                              <w:rPr>
                                <w:rFonts w:ascii="黑体" w:hAnsi="黑体" w:eastAsia="黑体" w:cs="黑体"/>
                                <w:b/>
                                <w:color w:val="333399"/>
                                <w:sz w:val="21"/>
                                <w:szCs w:val="21"/>
                              </w:rPr>
                            </w:pPr>
                          </w:p>
                          <w:p w14:paraId="69110033">
                            <w:pPr>
                              <w:rPr>
                                <w:rFonts w:ascii="黑体" w:hAnsi="黑体" w:eastAsia="黑体" w:cs="黑体"/>
                                <w:b/>
                                <w:color w:val="333399"/>
                                <w:sz w:val="21"/>
                                <w:szCs w:val="21"/>
                              </w:rPr>
                            </w:pPr>
                            <w:r>
                              <w:rPr>
                                <w:rFonts w:hint="eastAsia" w:ascii="黑体" w:hAnsi="黑体" w:eastAsia="黑体" w:cs="黑体"/>
                                <w:b/>
                                <w:color w:val="333399"/>
                                <w:sz w:val="21"/>
                                <w:szCs w:val="21"/>
                              </w:rPr>
                              <w:t>版权保护：本信息简报由辽宁省律师协会金融与保险法律专业委员会、大连市律师协会证券期货法律专业委员会共同编辑并发布。任何有关本信息简报的转载或摘编，请注明出处。</w:t>
                            </w:r>
                          </w:p>
                        </w:txbxContent>
                      </wps:txbx>
                      <wps:bodyPr upright="1"/>
                    </wps:wsp>
                  </a:graphicData>
                </a:graphic>
              </wp:anchor>
            </w:drawing>
          </mc:Choice>
          <mc:Fallback>
            <w:pict>
              <v:shape id="_x0000_s1026" o:spid="_x0000_s1026" o:spt="202" type="#_x0000_t202" style="position:absolute;left:0pt;margin-left:7.05pt;margin-top:191.7pt;height:97.2pt;width:446.8pt;mso-position-horizontal-relative:margin;mso-wrap-distance-bottom:0pt;mso-wrap-distance-left:9pt;mso-wrap-distance-right:9pt;mso-wrap-distance-top:0pt;z-index:251660288;mso-width-relative:page;mso-height-relative:page;" fillcolor="#FFFFFF" filled="t" stroked="t" coordsize="21600,21600" o:gfxdata="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KF4vI2QAAAAoBAAAPAAAAAAAAAAEA&#10;IAAAACIAAABkcnMvZG93bnJldi54bWxQSwECFAAUAAAACACHTuJAIejIgw4CAAA4BAAADgAAAAAA&#10;AAABACAAAAAoAQAAZHJzL2Uyb0RvYy54bWxQSwUGAAAAAAYABgBZAQAAqAUAAAAA&#10;">
                <v:fill on="t" focussize="0,0"/>
                <v:stroke weight="1pt" color="#1313AD" joinstyle="miter"/>
                <v:imagedata o:title=""/>
                <o:lock v:ext="edit" aspectratio="f"/>
                <v:textbox>
                  <w:txbxContent>
                    <w:p w14:paraId="34F55977">
                      <w:pPr>
                        <w:rPr>
                          <w:rFonts w:ascii="黑体" w:hAnsi="黑体" w:eastAsia="黑体" w:cs="黑体"/>
                          <w:b/>
                          <w:color w:val="333399"/>
                          <w:sz w:val="21"/>
                          <w:szCs w:val="21"/>
                        </w:rPr>
                      </w:pPr>
                      <w:r>
                        <w:rPr>
                          <w:rFonts w:hint="eastAsia" w:ascii="黑体" w:hAnsi="黑体" w:eastAsia="黑体" w:cs="黑体"/>
                          <w:b/>
                          <w:color w:val="333399"/>
                          <w:sz w:val="21"/>
                          <w:szCs w:val="21"/>
                        </w:rPr>
                        <w:t>特别声明：本信息简报所载内容均来自国内报刊、专业网站已发表的文章。在任何情形下，本信息简报均不可作为法律意见、作出行动或制止行动的依据。</w:t>
                      </w:r>
                    </w:p>
                    <w:p w14:paraId="7C352790">
                      <w:pPr>
                        <w:rPr>
                          <w:rFonts w:ascii="黑体" w:hAnsi="黑体" w:eastAsia="黑体" w:cs="黑体"/>
                          <w:b/>
                          <w:color w:val="333399"/>
                          <w:sz w:val="21"/>
                          <w:szCs w:val="21"/>
                        </w:rPr>
                      </w:pPr>
                    </w:p>
                    <w:p w14:paraId="69110033">
                      <w:pPr>
                        <w:rPr>
                          <w:rFonts w:ascii="黑体" w:hAnsi="黑体" w:eastAsia="黑体" w:cs="黑体"/>
                          <w:b/>
                          <w:color w:val="333399"/>
                          <w:sz w:val="21"/>
                          <w:szCs w:val="21"/>
                        </w:rPr>
                      </w:pPr>
                      <w:r>
                        <w:rPr>
                          <w:rFonts w:hint="eastAsia" w:ascii="黑体" w:hAnsi="黑体" w:eastAsia="黑体" w:cs="黑体"/>
                          <w:b/>
                          <w:color w:val="333399"/>
                          <w:sz w:val="21"/>
                          <w:szCs w:val="21"/>
                        </w:rPr>
                        <w:t>版权保护：本信息简报由辽宁省律师协会金融与保险法律专业委员会、大连市律师协会证券期货法律专业委员会共同编辑并发布。任何有关本信息简报的转载或摘编，请注明出处。</w:t>
                      </w:r>
                    </w:p>
                  </w:txbxContent>
                </v:textbox>
                <w10:wrap type="square"/>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1126490</wp:posOffset>
                </wp:positionH>
                <wp:positionV relativeFrom="paragraph">
                  <wp:posOffset>473710</wp:posOffset>
                </wp:positionV>
                <wp:extent cx="4003675" cy="1653540"/>
                <wp:effectExtent l="0" t="0" r="0" b="0"/>
                <wp:wrapSquare wrapText="bothSides"/>
                <wp:docPr id="4" name="文本框 4"/>
                <wp:cNvGraphicFramePr/>
                <a:graphic xmlns:a="http://schemas.openxmlformats.org/drawingml/2006/main">
                  <a:graphicData uri="http://schemas.microsoft.com/office/word/2010/wordprocessingShape">
                    <wps:wsp>
                      <wps:cNvSpPr txBox="1"/>
                      <wps:spPr>
                        <a:xfrm>
                          <a:off x="0" y="0"/>
                          <a:ext cx="4003675" cy="1653540"/>
                        </a:xfrm>
                        <a:prstGeom prst="rect">
                          <a:avLst/>
                        </a:prstGeom>
                        <a:noFill/>
                        <a:ln>
                          <a:noFill/>
                        </a:ln>
                      </wps:spPr>
                      <wps:txbx>
                        <w:txbxContent>
                          <w:p w14:paraId="6CF8DDD0">
                            <w:pPr>
                              <w:pStyle w:val="4"/>
                              <w:spacing w:after="0" w:line="360" w:lineRule="auto"/>
                              <w:rPr>
                                <w:rFonts w:ascii="黑体" w:hAnsi="黑体" w:eastAsia="黑体" w:cs="黑体"/>
                                <w:color w:val="auto"/>
                                <w:szCs w:val="24"/>
                              </w:rPr>
                            </w:pPr>
                          </w:p>
                          <w:p w14:paraId="15D32FBE">
                            <w:pPr>
                              <w:pStyle w:val="4"/>
                              <w:spacing w:after="0" w:line="360" w:lineRule="auto"/>
                              <w:rPr>
                                <w:rFonts w:hint="eastAsia" w:ascii="黑体" w:hAnsi="黑体" w:eastAsia="黑体" w:cs="黑体"/>
                                <w:color w:val="auto"/>
                                <w:szCs w:val="24"/>
                              </w:rPr>
                            </w:pPr>
                            <w:r>
                              <w:rPr>
                                <w:rFonts w:hint="eastAsia" w:ascii="黑体" w:hAnsi="黑体" w:eastAsia="黑体" w:cs="黑体"/>
                                <w:color w:val="auto"/>
                                <w:szCs w:val="24"/>
                              </w:rPr>
                              <w:t>本期编辑：关泽宇 北京观韬（大连）律师事务所</w:t>
                            </w:r>
                          </w:p>
                          <w:p w14:paraId="171AA94D">
                            <w:pPr>
                              <w:pStyle w:val="4"/>
                              <w:spacing w:after="0" w:line="360" w:lineRule="auto"/>
                              <w:rPr>
                                <w:rFonts w:ascii="Arial Black" w:hAnsi="Arial Black"/>
                                <w:color w:val="333399"/>
                                <w:szCs w:val="24"/>
                              </w:rPr>
                            </w:pPr>
                            <w:r>
                              <w:rPr>
                                <w:rFonts w:hint="eastAsia" w:ascii="黑体" w:hAnsi="黑体" w:eastAsia="黑体" w:cs="黑体"/>
                                <w:color w:val="auto"/>
                                <w:szCs w:val="24"/>
                              </w:rPr>
                              <w:t>责任编辑：潘晓黎 北京观韬（大连）律师事务所</w:t>
                            </w:r>
                          </w:p>
                          <w:p w14:paraId="221BC748">
                            <w:pPr>
                              <w:pStyle w:val="4"/>
                              <w:spacing w:after="0" w:line="360" w:lineRule="auto"/>
                              <w:rPr>
                                <w:rFonts w:ascii="Arial Black" w:hAnsi="Arial Black"/>
                                <w:b/>
                                <w:bCs/>
                                <w:color w:val="333399"/>
                                <w:sz w:val="21"/>
                                <w:szCs w:val="21"/>
                              </w:rPr>
                            </w:pPr>
                          </w:p>
                        </w:txbxContent>
                      </wps:txbx>
                      <wps:bodyPr upright="1"/>
                    </wps:wsp>
                  </a:graphicData>
                </a:graphic>
              </wp:anchor>
            </w:drawing>
          </mc:Choice>
          <mc:Fallback>
            <w:pict>
              <v:shape id="_x0000_s1026" o:spid="_x0000_s1026" o:spt="202" type="#_x0000_t202" style="position:absolute;left:0pt;margin-left:88.7pt;margin-top:37.3pt;height:130.2pt;width:315.25pt;mso-wrap-distance-bottom:0pt;mso-wrap-distance-left:9pt;mso-wrap-distance-right:9pt;mso-wrap-distance-top:0pt;z-index:251659264;mso-width-relative:page;mso-height-relative:page;" filled="f" stroked="f" coordsize="21600,21600" o:gfxdata="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BWzW8TX&#10;AAAACgEAAA8AAAAAAAAAAQAgAAAAIgAAAGRycy9kb3ducmV2LnhtbFBLAQIUABQAAAAIAIdO4kCn&#10;siptrwEAAE8DAAAOAAAAAAAAAAEAIAAAACYBAABkcnMvZTJvRG9jLnhtbFBLBQYAAAAABgAGAFkB&#10;AABHBQAAAAA=&#10;">
                <v:fill on="f" focussize="0,0"/>
                <v:stroke on="f"/>
                <v:imagedata o:title=""/>
                <o:lock v:ext="edit" aspectratio="f"/>
                <v:textbox>
                  <w:txbxContent>
                    <w:p w14:paraId="6CF8DDD0">
                      <w:pPr>
                        <w:pStyle w:val="4"/>
                        <w:spacing w:after="0" w:line="360" w:lineRule="auto"/>
                        <w:rPr>
                          <w:rFonts w:ascii="黑体" w:hAnsi="黑体" w:eastAsia="黑体" w:cs="黑体"/>
                          <w:color w:val="auto"/>
                          <w:szCs w:val="24"/>
                        </w:rPr>
                      </w:pPr>
                    </w:p>
                    <w:p w14:paraId="15D32FBE">
                      <w:pPr>
                        <w:pStyle w:val="4"/>
                        <w:spacing w:after="0" w:line="360" w:lineRule="auto"/>
                        <w:rPr>
                          <w:rFonts w:hint="eastAsia" w:ascii="黑体" w:hAnsi="黑体" w:eastAsia="黑体" w:cs="黑体"/>
                          <w:color w:val="auto"/>
                          <w:szCs w:val="24"/>
                        </w:rPr>
                      </w:pPr>
                      <w:r>
                        <w:rPr>
                          <w:rFonts w:hint="eastAsia" w:ascii="黑体" w:hAnsi="黑体" w:eastAsia="黑体" w:cs="黑体"/>
                          <w:color w:val="auto"/>
                          <w:szCs w:val="24"/>
                        </w:rPr>
                        <w:t>本期编辑：关泽宇 北京观韬（大连）律师事务所</w:t>
                      </w:r>
                    </w:p>
                    <w:p w14:paraId="171AA94D">
                      <w:pPr>
                        <w:pStyle w:val="4"/>
                        <w:spacing w:after="0" w:line="360" w:lineRule="auto"/>
                        <w:rPr>
                          <w:rFonts w:ascii="Arial Black" w:hAnsi="Arial Black"/>
                          <w:color w:val="333399"/>
                          <w:szCs w:val="24"/>
                        </w:rPr>
                      </w:pPr>
                      <w:r>
                        <w:rPr>
                          <w:rFonts w:hint="eastAsia" w:ascii="黑体" w:hAnsi="黑体" w:eastAsia="黑体" w:cs="黑体"/>
                          <w:color w:val="auto"/>
                          <w:szCs w:val="24"/>
                        </w:rPr>
                        <w:t>责任编辑：潘晓黎 北京观韬（大连）律师事务所</w:t>
                      </w:r>
                    </w:p>
                    <w:p w14:paraId="221BC748">
                      <w:pPr>
                        <w:pStyle w:val="4"/>
                        <w:spacing w:after="0" w:line="360" w:lineRule="auto"/>
                        <w:rPr>
                          <w:rFonts w:ascii="Arial Black" w:hAnsi="Arial Black"/>
                          <w:b/>
                          <w:bCs/>
                          <w:color w:val="333399"/>
                          <w:sz w:val="21"/>
                          <w:szCs w:val="21"/>
                        </w:rPr>
                      </w:pPr>
                    </w:p>
                  </w:txbxContent>
                </v:textbox>
                <w10:wrap type="square"/>
              </v:shape>
            </w:pict>
          </mc:Fallback>
        </mc:AlternateContent>
      </w:r>
      <w:r>
        <w:rPr>
          <w:rFonts w:ascii="Times New Roman" w:hAnsi="Times New Roman" w:eastAsia="黑体"/>
          <w:b/>
          <w:bCs/>
        </w:rPr>
        <w:t>总第</w:t>
      </w:r>
      <w:r>
        <w:rPr>
          <w:rFonts w:hint="eastAsia" w:ascii="Times New Roman" w:hAnsi="Times New Roman" w:eastAsia="黑体"/>
          <w:b/>
          <w:bCs/>
        </w:rPr>
        <w:t>一百八十三</w:t>
      </w:r>
      <w:r>
        <w:rPr>
          <w:rFonts w:ascii="Times New Roman" w:hAnsi="Times New Roman" w:eastAsia="黑体"/>
          <w:b/>
          <w:bCs/>
        </w:rPr>
        <w:t>期</w:t>
      </w:r>
    </w:p>
    <w:p w14:paraId="25CB7F3A">
      <w:pPr>
        <w:rPr>
          <w:rFonts w:ascii="Times New Roman" w:hAnsi="Times New Roman" w:eastAsia="黑体"/>
          <w:b/>
        </w:rPr>
        <w:sectPr>
          <w:footerReference r:id="rId3" w:type="default"/>
          <w:pgSz w:w="11906" w:h="16838"/>
          <w:pgMar w:top="1440" w:right="1417" w:bottom="1440" w:left="1417" w:header="851" w:footer="992" w:gutter="0"/>
          <w:cols w:space="720" w:num="1"/>
          <w:titlePg/>
          <w:docGrid w:type="lines" w:linePitch="312" w:charSpace="0"/>
        </w:sectPr>
      </w:pPr>
    </w:p>
    <w:p w14:paraId="40566430">
      <w:pPr>
        <w:tabs>
          <w:tab w:val="left" w:pos="0"/>
          <w:tab w:val="left" w:pos="840"/>
        </w:tabs>
        <w:spacing w:before="156" w:beforeLines="50" w:after="156" w:afterLines="50"/>
        <w:rPr>
          <w:rFonts w:ascii="Times New Roman" w:hAnsi="Times New Roman"/>
        </w:rPr>
      </w:pPr>
      <w:r>
        <w:rPr>
          <w:rFonts w:ascii="Times New Roman" w:hAnsi="Times New Roman" w:eastAsia="黑体"/>
          <w:b/>
          <w:color w:val="FFFFFF"/>
          <w:sz w:val="32"/>
          <w:szCs w:val="32"/>
          <w:highlight w:val="blue"/>
          <w:shd w:val="clear" w:color="FFFFFF" w:fill="D9D9D9"/>
        </w:rPr>
        <w:t>资本市场最新动态</w:t>
      </w:r>
    </w:p>
    <w:p w14:paraId="1D6C197D">
      <w:pPr>
        <w:numPr>
          <w:ilvl w:val="0"/>
          <w:numId w:val="1"/>
        </w:numPr>
        <w:tabs>
          <w:tab w:val="left" w:pos="0"/>
          <w:tab w:val="left" w:pos="840"/>
        </w:tabs>
        <w:spacing w:after="156" w:afterLines="50" w:line="360" w:lineRule="auto"/>
        <w:rPr>
          <w:rFonts w:ascii="Times New Roman" w:hAnsi="Times New Roman"/>
        </w:rPr>
      </w:pPr>
      <w:r>
        <w:rPr>
          <w:rFonts w:ascii="Times New Roman" w:hAnsi="Times New Roman" w:cs="Times New Roman"/>
        </w:rPr>
        <w:t>沪深两市</w:t>
      </w:r>
      <w:r>
        <w:rPr>
          <w:rFonts w:hint="eastAsia" w:ascii="Times New Roman" w:hAnsi="Times New Roman" w:cs="Times New Roman"/>
          <w:lang w:eastAsia="zh-Hans"/>
        </w:rPr>
        <w:t>和北交所</w:t>
      </w:r>
      <w:r>
        <w:rPr>
          <w:rFonts w:ascii="Times New Roman" w:hAnsi="Times New Roman" w:cs="Times New Roman"/>
        </w:rPr>
        <w:t xml:space="preserve">上市公司数据信息统计         </w:t>
      </w:r>
      <w:r>
        <w:rPr>
          <w:rFonts w:hint="eastAsia" w:ascii="Times New Roman" w:hAnsi="Times New Roman" w:cs="Times New Roman"/>
        </w:rPr>
        <w:t xml:space="preserve">      </w:t>
      </w:r>
      <w:r>
        <w:rPr>
          <w:rFonts w:ascii="Times New Roman" w:hAnsi="Times New Roman" w:cs="Times New Roman"/>
        </w:rPr>
        <w:t xml:space="preserve"> </w:t>
      </w:r>
      <w:r>
        <w:rPr>
          <w:rFonts w:hint="eastAsia" w:ascii="Times New Roman" w:hAnsi="Times New Roman" w:cs="Times New Roman"/>
        </w:rPr>
        <w:t>截至</w:t>
      </w:r>
      <w:bookmarkStart w:id="0" w:name="OLE_LINK1"/>
      <w:r>
        <w:rPr>
          <w:rFonts w:hint="eastAsia" w:ascii="Times New Roman" w:hAnsi="Times New Roman" w:cs="Times New Roman"/>
        </w:rPr>
        <w:t>20</w:t>
      </w:r>
      <w:r>
        <w:rPr>
          <w:rFonts w:ascii="Times New Roman" w:hAnsi="Times New Roman" w:cs="Times New Roman"/>
        </w:rPr>
        <w:t>2</w:t>
      </w:r>
      <w:r>
        <w:rPr>
          <w:rFonts w:hint="eastAsia" w:ascii="Times New Roman" w:hAnsi="Times New Roman" w:cs="Times New Roman"/>
        </w:rPr>
        <w:t>6年6</w:t>
      </w:r>
      <w:r>
        <w:rPr>
          <w:rFonts w:ascii="Times New Roman" w:hAnsi="Times New Roman" w:cs="Times New Roman"/>
        </w:rPr>
        <w:t>月</w:t>
      </w:r>
      <w:r>
        <w:rPr>
          <w:rFonts w:hint="eastAsia" w:ascii="Times New Roman" w:hAnsi="Times New Roman" w:cs="Times New Roman"/>
        </w:rPr>
        <w:t>30</w:t>
      </w:r>
      <w:r>
        <w:rPr>
          <w:rFonts w:ascii="Times New Roman" w:hAnsi="Times New Roman" w:cs="Times New Roman"/>
        </w:rPr>
        <w:t>日</w:t>
      </w:r>
      <w:bookmarkEnd w:id="0"/>
    </w:p>
    <w:tbl>
      <w:tblPr>
        <w:tblStyle w:val="8"/>
        <w:tblW w:w="92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1400"/>
        <w:gridCol w:w="1462"/>
        <w:gridCol w:w="1324"/>
        <w:gridCol w:w="1380"/>
        <w:gridCol w:w="1380"/>
      </w:tblGrid>
      <w:tr w14:paraId="44C48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jc w:val="center"/>
        </w:trPr>
        <w:tc>
          <w:tcPr>
            <w:tcW w:w="2263" w:type="dxa"/>
            <w:shd w:val="clear" w:color="auto" w:fill="BEBEBE"/>
          </w:tcPr>
          <w:p w14:paraId="5C0D2585">
            <w:pPr>
              <w:rPr>
                <w:rFonts w:ascii="Times New Roman" w:hAnsi="Times New Roman"/>
                <w:b/>
                <w:bCs/>
              </w:rPr>
            </w:pPr>
          </w:p>
        </w:tc>
        <w:tc>
          <w:tcPr>
            <w:tcW w:w="1400" w:type="dxa"/>
            <w:shd w:val="clear" w:color="auto" w:fill="BEBEBE"/>
            <w:vAlign w:val="center"/>
          </w:tcPr>
          <w:p w14:paraId="4C6F9F00">
            <w:pPr>
              <w:jc w:val="center"/>
              <w:rPr>
                <w:rFonts w:ascii="Times New Roman" w:hAnsi="Times New Roman"/>
                <w:b/>
                <w:bCs/>
              </w:rPr>
            </w:pPr>
            <w:r>
              <w:rPr>
                <w:rFonts w:ascii="Times New Roman" w:hAnsi="Times New Roman" w:cs="Times New Roman"/>
                <w:b/>
                <w:bCs/>
              </w:rPr>
              <w:t>沪市主板</w:t>
            </w:r>
          </w:p>
        </w:tc>
        <w:tc>
          <w:tcPr>
            <w:tcW w:w="1462" w:type="dxa"/>
            <w:shd w:val="clear" w:color="auto" w:fill="C0C0C0"/>
            <w:vAlign w:val="center"/>
          </w:tcPr>
          <w:p w14:paraId="3E631B5E">
            <w:pPr>
              <w:jc w:val="center"/>
              <w:rPr>
                <w:rFonts w:ascii="Times New Roman" w:hAnsi="Times New Roman"/>
                <w:b/>
                <w:bCs/>
              </w:rPr>
            </w:pPr>
            <w:r>
              <w:rPr>
                <w:rFonts w:ascii="Times New Roman" w:hAnsi="Times New Roman" w:cs="Times New Roman"/>
                <w:b/>
                <w:bCs/>
              </w:rPr>
              <w:t>深市主板</w:t>
            </w:r>
          </w:p>
        </w:tc>
        <w:tc>
          <w:tcPr>
            <w:tcW w:w="1324" w:type="dxa"/>
            <w:shd w:val="clear" w:color="auto" w:fill="C0C0C0"/>
            <w:vAlign w:val="center"/>
          </w:tcPr>
          <w:p w14:paraId="19CE68F4">
            <w:pPr>
              <w:jc w:val="center"/>
              <w:rPr>
                <w:rFonts w:ascii="Times New Roman" w:hAnsi="Times New Roman"/>
                <w:b/>
                <w:bCs/>
              </w:rPr>
            </w:pPr>
            <w:r>
              <w:rPr>
                <w:rFonts w:ascii="Times New Roman" w:hAnsi="Times New Roman" w:cs="Times New Roman"/>
                <w:b/>
                <w:bCs/>
              </w:rPr>
              <w:t>创业板</w:t>
            </w:r>
          </w:p>
        </w:tc>
        <w:tc>
          <w:tcPr>
            <w:tcW w:w="1380" w:type="dxa"/>
            <w:shd w:val="clear" w:color="auto" w:fill="C0C0C0"/>
            <w:vAlign w:val="center"/>
          </w:tcPr>
          <w:p w14:paraId="52E2A169">
            <w:pPr>
              <w:jc w:val="center"/>
              <w:rPr>
                <w:rFonts w:ascii="Times New Roman" w:hAnsi="Times New Roman"/>
                <w:b/>
                <w:bCs/>
              </w:rPr>
            </w:pPr>
            <w:r>
              <w:rPr>
                <w:rFonts w:hint="eastAsia" w:ascii="Times New Roman" w:hAnsi="Times New Roman" w:cs="Times New Roman"/>
                <w:b/>
                <w:bCs/>
              </w:rPr>
              <w:t>科创板</w:t>
            </w:r>
          </w:p>
        </w:tc>
        <w:tc>
          <w:tcPr>
            <w:tcW w:w="1380" w:type="dxa"/>
            <w:shd w:val="clear" w:color="auto" w:fill="C0C0C0"/>
            <w:vAlign w:val="center"/>
          </w:tcPr>
          <w:p w14:paraId="387D3B52">
            <w:pPr>
              <w:jc w:val="center"/>
              <w:rPr>
                <w:rFonts w:ascii="Times New Roman" w:hAnsi="Times New Roman"/>
                <w:b/>
                <w:bCs/>
                <w:lang w:eastAsia="zh-Hans"/>
              </w:rPr>
            </w:pPr>
            <w:r>
              <w:rPr>
                <w:rFonts w:hint="eastAsia" w:ascii="Times New Roman" w:hAnsi="Times New Roman" w:cs="Times New Roman"/>
                <w:b/>
                <w:bCs/>
                <w:lang w:eastAsia="zh-Hans"/>
              </w:rPr>
              <w:t>北交所</w:t>
            </w:r>
          </w:p>
        </w:tc>
      </w:tr>
      <w:tr w14:paraId="6B50A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263" w:type="dxa"/>
            <w:vAlign w:val="center"/>
          </w:tcPr>
          <w:p w14:paraId="380E8F1E">
            <w:pPr>
              <w:jc w:val="center"/>
              <w:rPr>
                <w:rFonts w:ascii="Times New Roman" w:hAnsi="Times New Roman"/>
              </w:rPr>
            </w:pPr>
            <w:r>
              <w:rPr>
                <w:rFonts w:ascii="Times New Roman" w:hAnsi="Times New Roman" w:cs="Times New Roman"/>
              </w:rPr>
              <w:t>上市公司（家数）</w:t>
            </w:r>
          </w:p>
        </w:tc>
        <w:tc>
          <w:tcPr>
            <w:tcW w:w="1400" w:type="dxa"/>
            <w:vAlign w:val="center"/>
          </w:tcPr>
          <w:p w14:paraId="61B068AF">
            <w:pPr>
              <w:jc w:val="right"/>
              <w:rPr>
                <w:rFonts w:ascii="Times New Roman" w:hAnsi="Times New Roman"/>
              </w:rPr>
            </w:pPr>
            <w:r>
              <w:rPr>
                <w:rFonts w:ascii="Times New Roman" w:hAnsi="Times New Roman"/>
              </w:rPr>
              <w:t>1,704</w:t>
            </w:r>
          </w:p>
        </w:tc>
        <w:tc>
          <w:tcPr>
            <w:tcW w:w="1462" w:type="dxa"/>
            <w:vAlign w:val="center"/>
          </w:tcPr>
          <w:p w14:paraId="0225192C">
            <w:pPr>
              <w:jc w:val="right"/>
              <w:rPr>
                <w:rFonts w:ascii="Times New Roman" w:hAnsi="Times New Roman"/>
              </w:rPr>
            </w:pPr>
            <w:r>
              <w:rPr>
                <w:rFonts w:ascii="Times New Roman" w:hAnsi="Times New Roman"/>
              </w:rPr>
              <w:t>1,499</w:t>
            </w:r>
          </w:p>
        </w:tc>
        <w:tc>
          <w:tcPr>
            <w:tcW w:w="1324" w:type="dxa"/>
            <w:vAlign w:val="center"/>
          </w:tcPr>
          <w:p w14:paraId="38C6793E">
            <w:pPr>
              <w:jc w:val="right"/>
              <w:rPr>
                <w:rFonts w:ascii="Times New Roman" w:hAnsi="Times New Roman"/>
              </w:rPr>
            </w:pPr>
            <w:r>
              <w:rPr>
                <w:rFonts w:ascii="Times New Roman" w:hAnsi="Times New Roman"/>
              </w:rPr>
              <w:t>1,399</w:t>
            </w:r>
          </w:p>
        </w:tc>
        <w:tc>
          <w:tcPr>
            <w:tcW w:w="1380" w:type="dxa"/>
            <w:vAlign w:val="center"/>
          </w:tcPr>
          <w:p w14:paraId="48A9EF56">
            <w:pPr>
              <w:jc w:val="right"/>
              <w:rPr>
                <w:rFonts w:ascii="Times New Roman" w:hAnsi="Times New Roman"/>
              </w:rPr>
            </w:pPr>
            <w:r>
              <w:rPr>
                <w:rFonts w:ascii="Times New Roman" w:hAnsi="Times New Roman"/>
              </w:rPr>
              <w:t>610</w:t>
            </w:r>
          </w:p>
        </w:tc>
        <w:tc>
          <w:tcPr>
            <w:tcW w:w="1380" w:type="dxa"/>
            <w:vAlign w:val="center"/>
          </w:tcPr>
          <w:p w14:paraId="7A857E0E">
            <w:pPr>
              <w:jc w:val="right"/>
              <w:rPr>
                <w:rFonts w:hint="eastAsia" w:ascii="Times New Roman" w:hAnsi="Times New Roman"/>
              </w:rPr>
            </w:pPr>
            <w:r>
              <w:rPr>
                <w:rFonts w:hint="eastAsia" w:ascii="Times New Roman" w:hAnsi="Times New Roman"/>
              </w:rPr>
              <w:t>323</w:t>
            </w:r>
          </w:p>
        </w:tc>
      </w:tr>
      <w:tr w14:paraId="1DC2D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263" w:type="dxa"/>
            <w:vAlign w:val="center"/>
          </w:tcPr>
          <w:p w14:paraId="5596AA32">
            <w:pPr>
              <w:ind w:right="-355" w:rightChars="-148"/>
              <w:rPr>
                <w:rFonts w:ascii="Times New Roman" w:hAnsi="Times New Roman"/>
              </w:rPr>
            </w:pPr>
            <w:r>
              <w:rPr>
                <w:rFonts w:ascii="Times New Roman" w:hAnsi="Times New Roman" w:cs="Times New Roman"/>
              </w:rPr>
              <w:t>总发行股本（亿股）</w:t>
            </w:r>
          </w:p>
        </w:tc>
        <w:tc>
          <w:tcPr>
            <w:tcW w:w="1400" w:type="dxa"/>
            <w:vAlign w:val="center"/>
          </w:tcPr>
          <w:p w14:paraId="42C75A4F">
            <w:pPr>
              <w:jc w:val="right"/>
              <w:rPr>
                <w:rFonts w:ascii="Times New Roman" w:hAnsi="Times New Roman"/>
              </w:rPr>
            </w:pPr>
            <w:r>
              <w:rPr>
                <w:rFonts w:ascii="Times New Roman" w:hAnsi="Times New Roman"/>
              </w:rPr>
              <w:t>48,522.9</w:t>
            </w:r>
          </w:p>
        </w:tc>
        <w:tc>
          <w:tcPr>
            <w:tcW w:w="1462" w:type="dxa"/>
            <w:vAlign w:val="center"/>
          </w:tcPr>
          <w:p w14:paraId="37B78F3D">
            <w:pPr>
              <w:jc w:val="right"/>
              <w:rPr>
                <w:rFonts w:hint="eastAsia" w:ascii="Times New Roman" w:hAnsi="Times New Roman"/>
              </w:rPr>
            </w:pPr>
            <w:r>
              <w:rPr>
                <w:rFonts w:ascii="Times New Roman" w:hAnsi="Times New Roman"/>
              </w:rPr>
              <w:t>20</w:t>
            </w:r>
            <w:r>
              <w:rPr>
                <w:rFonts w:hint="eastAsia" w:ascii="Times New Roman" w:hAnsi="Times New Roman"/>
              </w:rPr>
              <w:t>,</w:t>
            </w:r>
            <w:r>
              <w:rPr>
                <w:rFonts w:ascii="Times New Roman" w:hAnsi="Times New Roman"/>
              </w:rPr>
              <w:t>800.97</w:t>
            </w:r>
          </w:p>
        </w:tc>
        <w:tc>
          <w:tcPr>
            <w:tcW w:w="1324" w:type="dxa"/>
            <w:vAlign w:val="center"/>
          </w:tcPr>
          <w:p w14:paraId="7CDB726D">
            <w:pPr>
              <w:jc w:val="right"/>
              <w:rPr>
                <w:rFonts w:ascii="Times New Roman" w:hAnsi="Times New Roman"/>
              </w:rPr>
            </w:pPr>
            <w:r>
              <w:rPr>
                <w:rFonts w:ascii="Times New Roman" w:hAnsi="Times New Roman"/>
              </w:rPr>
              <w:t>6,751.61</w:t>
            </w:r>
          </w:p>
        </w:tc>
        <w:tc>
          <w:tcPr>
            <w:tcW w:w="1380" w:type="dxa"/>
            <w:vAlign w:val="center"/>
          </w:tcPr>
          <w:p w14:paraId="284B7523">
            <w:pPr>
              <w:jc w:val="right"/>
              <w:rPr>
                <w:rFonts w:ascii="Times New Roman" w:hAnsi="Times New Roman"/>
              </w:rPr>
            </w:pPr>
            <w:r>
              <w:rPr>
                <w:rFonts w:ascii="Times New Roman" w:hAnsi="Times New Roman"/>
              </w:rPr>
              <w:t>2,533.61</w:t>
            </w:r>
          </w:p>
        </w:tc>
        <w:tc>
          <w:tcPr>
            <w:tcW w:w="1380" w:type="dxa"/>
            <w:vAlign w:val="center"/>
          </w:tcPr>
          <w:p w14:paraId="0D38C5D1">
            <w:pPr>
              <w:jc w:val="right"/>
              <w:rPr>
                <w:rFonts w:hint="eastAsia" w:ascii="Times New Roman" w:hAnsi="Times New Roman"/>
              </w:rPr>
            </w:pPr>
            <w:r>
              <w:rPr>
                <w:rFonts w:hint="eastAsia" w:ascii="Times New Roman" w:hAnsi="Times New Roman"/>
              </w:rPr>
              <w:t>442.83</w:t>
            </w:r>
          </w:p>
        </w:tc>
      </w:tr>
      <w:tr w14:paraId="3C5B7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263" w:type="dxa"/>
            <w:vAlign w:val="center"/>
          </w:tcPr>
          <w:p w14:paraId="23E103F7">
            <w:pPr>
              <w:ind w:right="-355" w:rightChars="-148"/>
              <w:rPr>
                <w:rFonts w:ascii="Times New Roman" w:hAnsi="Times New Roman"/>
              </w:rPr>
            </w:pPr>
            <w:r>
              <w:rPr>
                <w:rFonts w:ascii="Times New Roman" w:hAnsi="Times New Roman" w:cs="Times New Roman"/>
              </w:rPr>
              <w:t>总流通股本（亿股）</w:t>
            </w:r>
          </w:p>
        </w:tc>
        <w:tc>
          <w:tcPr>
            <w:tcW w:w="1400" w:type="dxa"/>
            <w:vAlign w:val="center"/>
          </w:tcPr>
          <w:p w14:paraId="7F27D0DE">
            <w:pPr>
              <w:jc w:val="right"/>
              <w:rPr>
                <w:rFonts w:ascii="Times New Roman" w:hAnsi="Times New Roman"/>
              </w:rPr>
            </w:pPr>
            <w:r>
              <w:rPr>
                <w:rFonts w:ascii="Times New Roman" w:hAnsi="Times New Roman"/>
              </w:rPr>
              <w:t>46,264.31</w:t>
            </w:r>
          </w:p>
        </w:tc>
        <w:tc>
          <w:tcPr>
            <w:tcW w:w="1462" w:type="dxa"/>
            <w:vAlign w:val="center"/>
          </w:tcPr>
          <w:p w14:paraId="0E014EE2">
            <w:pPr>
              <w:jc w:val="right"/>
              <w:rPr>
                <w:rFonts w:hint="eastAsia" w:ascii="Times New Roman" w:hAnsi="Times New Roman"/>
              </w:rPr>
            </w:pPr>
            <w:r>
              <w:rPr>
                <w:rFonts w:ascii="Times New Roman" w:hAnsi="Times New Roman"/>
              </w:rPr>
              <w:t>18</w:t>
            </w:r>
            <w:r>
              <w:rPr>
                <w:rFonts w:hint="eastAsia" w:ascii="Times New Roman" w:hAnsi="Times New Roman"/>
              </w:rPr>
              <w:t>,</w:t>
            </w:r>
            <w:r>
              <w:rPr>
                <w:rFonts w:ascii="Times New Roman" w:hAnsi="Times New Roman"/>
              </w:rPr>
              <w:t>855</w:t>
            </w:r>
            <w:r>
              <w:rPr>
                <w:rFonts w:hint="eastAsia" w:ascii="Times New Roman" w:hAnsi="Times New Roman"/>
              </w:rPr>
              <w:t>.86</w:t>
            </w:r>
          </w:p>
        </w:tc>
        <w:tc>
          <w:tcPr>
            <w:tcW w:w="1324" w:type="dxa"/>
            <w:vAlign w:val="center"/>
          </w:tcPr>
          <w:p w14:paraId="15086941">
            <w:pPr>
              <w:jc w:val="right"/>
              <w:rPr>
                <w:rFonts w:ascii="Times New Roman" w:hAnsi="Times New Roman"/>
              </w:rPr>
            </w:pPr>
            <w:r>
              <w:rPr>
                <w:rFonts w:ascii="Times New Roman" w:hAnsi="Times New Roman"/>
              </w:rPr>
              <w:t>5,598.72</w:t>
            </w:r>
          </w:p>
        </w:tc>
        <w:tc>
          <w:tcPr>
            <w:tcW w:w="1380" w:type="dxa"/>
            <w:vAlign w:val="center"/>
          </w:tcPr>
          <w:p w14:paraId="0FCE275A">
            <w:pPr>
              <w:jc w:val="right"/>
              <w:rPr>
                <w:rFonts w:ascii="Times New Roman" w:hAnsi="Times New Roman"/>
              </w:rPr>
            </w:pPr>
            <w:r>
              <w:rPr>
                <w:rFonts w:ascii="Times New Roman" w:hAnsi="Times New Roman"/>
              </w:rPr>
              <w:t>2,134.16</w:t>
            </w:r>
          </w:p>
        </w:tc>
        <w:tc>
          <w:tcPr>
            <w:tcW w:w="1380" w:type="dxa"/>
            <w:vAlign w:val="center"/>
          </w:tcPr>
          <w:p w14:paraId="67701346">
            <w:pPr>
              <w:jc w:val="right"/>
              <w:rPr>
                <w:rFonts w:hint="eastAsia" w:ascii="Times New Roman" w:hAnsi="Times New Roman"/>
              </w:rPr>
            </w:pPr>
            <w:r>
              <w:rPr>
                <w:rFonts w:hint="eastAsia" w:ascii="Times New Roman" w:hAnsi="Times New Roman"/>
              </w:rPr>
              <w:t>276.71</w:t>
            </w:r>
          </w:p>
        </w:tc>
      </w:tr>
      <w:tr w14:paraId="3620F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263" w:type="dxa"/>
            <w:vAlign w:val="center"/>
          </w:tcPr>
          <w:p w14:paraId="2A6D947D">
            <w:pPr>
              <w:rPr>
                <w:rFonts w:ascii="Times New Roman" w:hAnsi="Times New Roman"/>
              </w:rPr>
            </w:pPr>
            <w:r>
              <w:rPr>
                <w:rFonts w:ascii="Times New Roman" w:hAnsi="Times New Roman" w:cs="Times New Roman"/>
              </w:rPr>
              <w:t>总市值（亿元）</w:t>
            </w:r>
          </w:p>
        </w:tc>
        <w:tc>
          <w:tcPr>
            <w:tcW w:w="1400" w:type="dxa"/>
            <w:vAlign w:val="center"/>
          </w:tcPr>
          <w:p w14:paraId="68CE667C">
            <w:pPr>
              <w:jc w:val="right"/>
              <w:rPr>
                <w:rFonts w:ascii="Times New Roman" w:hAnsi="Times New Roman"/>
              </w:rPr>
            </w:pPr>
            <w:r>
              <w:rPr>
                <w:rFonts w:ascii="Times New Roman" w:hAnsi="Times New Roman"/>
              </w:rPr>
              <w:t>516,571.75</w:t>
            </w:r>
          </w:p>
        </w:tc>
        <w:tc>
          <w:tcPr>
            <w:tcW w:w="1462" w:type="dxa"/>
            <w:vAlign w:val="center"/>
          </w:tcPr>
          <w:p w14:paraId="126EEF34">
            <w:pPr>
              <w:jc w:val="right"/>
              <w:rPr>
                <w:rFonts w:ascii="Times New Roman" w:hAnsi="Times New Roman"/>
              </w:rPr>
            </w:pPr>
            <w:r>
              <w:rPr>
                <w:rFonts w:ascii="Times New Roman" w:hAnsi="Times New Roman"/>
              </w:rPr>
              <w:t>272,760.37</w:t>
            </w:r>
          </w:p>
        </w:tc>
        <w:tc>
          <w:tcPr>
            <w:tcW w:w="1324" w:type="dxa"/>
            <w:vAlign w:val="center"/>
          </w:tcPr>
          <w:p w14:paraId="009D35D3">
            <w:pPr>
              <w:jc w:val="right"/>
              <w:rPr>
                <w:rFonts w:ascii="Times New Roman" w:hAnsi="Times New Roman"/>
              </w:rPr>
            </w:pPr>
            <w:r>
              <w:rPr>
                <w:rFonts w:ascii="Times New Roman" w:hAnsi="Times New Roman"/>
              </w:rPr>
              <w:t>222,564.45</w:t>
            </w:r>
          </w:p>
        </w:tc>
        <w:tc>
          <w:tcPr>
            <w:tcW w:w="1380" w:type="dxa"/>
            <w:vAlign w:val="center"/>
          </w:tcPr>
          <w:p w14:paraId="004D2191">
            <w:pPr>
              <w:jc w:val="right"/>
              <w:rPr>
                <w:rFonts w:ascii="Times New Roman" w:hAnsi="Times New Roman"/>
              </w:rPr>
            </w:pPr>
            <w:r>
              <w:rPr>
                <w:rFonts w:ascii="Times New Roman" w:hAnsi="Times New Roman"/>
              </w:rPr>
              <w:t>170,601.27</w:t>
            </w:r>
          </w:p>
        </w:tc>
        <w:tc>
          <w:tcPr>
            <w:tcW w:w="1380" w:type="dxa"/>
            <w:vAlign w:val="center"/>
          </w:tcPr>
          <w:p w14:paraId="6C9BB452">
            <w:pPr>
              <w:jc w:val="right"/>
              <w:rPr>
                <w:rFonts w:hint="eastAsia" w:ascii="Times New Roman" w:hAnsi="Times New Roman"/>
              </w:rPr>
            </w:pPr>
            <w:r>
              <w:rPr>
                <w:rFonts w:hint="eastAsia" w:ascii="Times New Roman" w:hAnsi="Times New Roman"/>
              </w:rPr>
              <w:t>8,461.30</w:t>
            </w:r>
          </w:p>
        </w:tc>
      </w:tr>
      <w:tr w14:paraId="1643E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exact"/>
          <w:jc w:val="center"/>
        </w:trPr>
        <w:tc>
          <w:tcPr>
            <w:tcW w:w="2263" w:type="dxa"/>
            <w:vAlign w:val="center"/>
          </w:tcPr>
          <w:p w14:paraId="5612C1DC">
            <w:pPr>
              <w:rPr>
                <w:rFonts w:ascii="Times New Roman" w:hAnsi="Times New Roman"/>
              </w:rPr>
            </w:pPr>
            <w:r>
              <w:rPr>
                <w:rFonts w:ascii="Times New Roman" w:hAnsi="Times New Roman" w:cs="Times New Roman"/>
              </w:rPr>
              <w:t>平均市盈率</w:t>
            </w:r>
          </w:p>
        </w:tc>
        <w:tc>
          <w:tcPr>
            <w:tcW w:w="1400" w:type="dxa"/>
            <w:vAlign w:val="center"/>
          </w:tcPr>
          <w:p w14:paraId="08E2F845">
            <w:pPr>
              <w:jc w:val="right"/>
              <w:rPr>
                <w:rFonts w:ascii="Times New Roman" w:hAnsi="Times New Roman"/>
              </w:rPr>
            </w:pPr>
            <w:r>
              <w:rPr>
                <w:rFonts w:ascii="Times New Roman" w:hAnsi="Times New Roman"/>
              </w:rPr>
              <w:t>13.62</w:t>
            </w:r>
          </w:p>
        </w:tc>
        <w:tc>
          <w:tcPr>
            <w:tcW w:w="1462" w:type="dxa"/>
            <w:vAlign w:val="center"/>
          </w:tcPr>
          <w:p w14:paraId="74FDE4BB">
            <w:pPr>
              <w:jc w:val="right"/>
              <w:rPr>
                <w:rFonts w:ascii="Times New Roman" w:hAnsi="Times New Roman"/>
              </w:rPr>
            </w:pPr>
            <w:r>
              <w:rPr>
                <w:rFonts w:ascii="Times New Roman" w:hAnsi="Times New Roman"/>
              </w:rPr>
              <w:t>26.67</w:t>
            </w:r>
          </w:p>
        </w:tc>
        <w:tc>
          <w:tcPr>
            <w:tcW w:w="1324" w:type="dxa"/>
            <w:vAlign w:val="center"/>
          </w:tcPr>
          <w:p w14:paraId="4D8100B5">
            <w:pPr>
              <w:jc w:val="right"/>
              <w:rPr>
                <w:rFonts w:ascii="Times New Roman" w:hAnsi="Times New Roman"/>
              </w:rPr>
            </w:pPr>
            <w:r>
              <w:rPr>
                <w:rFonts w:ascii="Times New Roman" w:hAnsi="Times New Roman"/>
              </w:rPr>
              <w:t>54.43</w:t>
            </w:r>
          </w:p>
        </w:tc>
        <w:tc>
          <w:tcPr>
            <w:tcW w:w="1380" w:type="dxa"/>
            <w:vAlign w:val="center"/>
          </w:tcPr>
          <w:p w14:paraId="17FB03BF">
            <w:pPr>
              <w:jc w:val="right"/>
              <w:rPr>
                <w:rFonts w:ascii="Times New Roman" w:hAnsi="Times New Roman"/>
              </w:rPr>
            </w:pPr>
            <w:r>
              <w:rPr>
                <w:rFonts w:ascii="Times New Roman" w:hAnsi="Times New Roman"/>
              </w:rPr>
              <w:t>117.20</w:t>
            </w:r>
          </w:p>
        </w:tc>
        <w:tc>
          <w:tcPr>
            <w:tcW w:w="1380" w:type="dxa"/>
            <w:vAlign w:val="center"/>
          </w:tcPr>
          <w:p w14:paraId="32D8F16F">
            <w:pPr>
              <w:jc w:val="right"/>
              <w:rPr>
                <w:rFonts w:hint="eastAsia" w:ascii="Times New Roman" w:hAnsi="Times New Roman"/>
              </w:rPr>
            </w:pPr>
            <w:r>
              <w:rPr>
                <w:rFonts w:ascii="Times New Roman" w:hAnsi="Times New Roman"/>
              </w:rPr>
              <w:t>38.19</w:t>
            </w:r>
          </w:p>
        </w:tc>
      </w:tr>
    </w:tbl>
    <w:p w14:paraId="400C36EF">
      <w:pPr>
        <w:jc w:val="right"/>
        <w:rPr>
          <w:rFonts w:ascii="Times New Roman" w:hAnsi="Times New Roman"/>
          <w:lang w:eastAsia="zh-Hans"/>
        </w:rPr>
      </w:pPr>
      <w:r>
        <w:rPr>
          <w:rFonts w:ascii="Times New Roman" w:hAnsi="Times New Roman" w:cs="Times New Roman"/>
        </w:rPr>
        <w:t xml:space="preserve">数据来源：上交所网站 深交所网站 </w:t>
      </w:r>
      <w:r>
        <w:rPr>
          <w:rFonts w:hint="eastAsia" w:ascii="Times New Roman" w:hAnsi="Times New Roman" w:cs="Times New Roman"/>
          <w:lang w:eastAsia="zh-Hans"/>
        </w:rPr>
        <w:t>北交所网站</w:t>
      </w:r>
    </w:p>
    <w:p w14:paraId="487FA4E3">
      <w:pPr>
        <w:jc w:val="right"/>
        <w:rPr>
          <w:rFonts w:ascii="Times New Roman" w:hAnsi="Times New Roman"/>
          <w:lang w:eastAsia="zh-Hans"/>
        </w:rPr>
      </w:pPr>
    </w:p>
    <w:p w14:paraId="7B7879FB">
      <w:pPr>
        <w:jc w:val="right"/>
        <w:rPr>
          <w:rFonts w:ascii="Times New Roman" w:hAnsi="Times New Roman"/>
          <w:lang w:eastAsia="zh-Hans"/>
        </w:rPr>
      </w:pPr>
    </w:p>
    <w:p w14:paraId="4CC756F4">
      <w:pPr>
        <w:numPr>
          <w:ilvl w:val="0"/>
          <w:numId w:val="1"/>
        </w:numPr>
        <w:tabs>
          <w:tab w:val="left" w:pos="0"/>
          <w:tab w:val="left" w:pos="840"/>
        </w:tabs>
        <w:spacing w:after="156" w:afterLines="50" w:line="360" w:lineRule="auto"/>
        <w:rPr>
          <w:rFonts w:ascii="Times New Roman" w:hAnsi="Times New Roman"/>
          <w:lang w:eastAsia="zh-Hans"/>
        </w:rPr>
      </w:pPr>
      <w:r>
        <w:rPr>
          <w:rFonts w:ascii="Times New Roman" w:hAnsi="Times New Roman" w:cs="Times New Roman"/>
          <w:color w:val="000000"/>
        </w:rPr>
        <w:t>IPO发行情况</w:t>
      </w:r>
    </w:p>
    <w:p w14:paraId="2832109A">
      <w:pPr>
        <w:tabs>
          <w:tab w:val="left" w:pos="0"/>
          <w:tab w:val="left" w:pos="840"/>
        </w:tabs>
        <w:spacing w:after="156" w:afterLines="50" w:line="360" w:lineRule="auto"/>
        <w:ind w:firstLine="480" w:firstLineChars="200"/>
        <w:jc w:val="both"/>
        <w:rPr>
          <w:rFonts w:ascii="Times New Roman" w:hAnsi="Times New Roman" w:cs="Times New Roman"/>
          <w:color w:val="000000"/>
          <w:szCs w:val="27"/>
          <w:lang w:eastAsia="zh-Hans"/>
        </w:rPr>
      </w:pPr>
      <w:r>
        <w:rPr>
          <w:rFonts w:hint="eastAsia" w:ascii="Times New Roman" w:hAnsi="Times New Roman" w:cs="Times New Roman"/>
          <w:color w:val="000000"/>
          <w:szCs w:val="27"/>
          <w:lang w:eastAsia="zh-Hans"/>
        </w:rPr>
        <w:t>自2026年6月1日至2026年6月30日，共有9家公司完成首次公开发行，总共发行</w:t>
      </w:r>
      <w:r>
        <w:rPr>
          <w:rFonts w:ascii="Times New Roman" w:hAnsi="Times New Roman" w:cs="Times New Roman"/>
          <w:color w:val="000000"/>
          <w:szCs w:val="27"/>
          <w:lang w:eastAsia="zh-Hans"/>
        </w:rPr>
        <w:t>99,946.53</w:t>
      </w:r>
      <w:r>
        <w:rPr>
          <w:rFonts w:hint="eastAsia" w:ascii="Times New Roman" w:hAnsi="Times New Roman" w:cs="Times New Roman"/>
          <w:color w:val="000000"/>
          <w:szCs w:val="27"/>
          <w:lang w:eastAsia="zh-Hans"/>
        </w:rPr>
        <w:t>万股，募集资金</w:t>
      </w:r>
      <w:r>
        <w:rPr>
          <w:rFonts w:ascii="Times New Roman" w:hAnsi="Times New Roman" w:cs="Times New Roman"/>
          <w:color w:val="000000"/>
          <w:szCs w:val="27"/>
          <w:lang w:eastAsia="zh-Hans"/>
        </w:rPr>
        <w:t>1,130,595.17</w:t>
      </w:r>
      <w:r>
        <w:rPr>
          <w:rFonts w:hint="eastAsia" w:ascii="Times New Roman" w:hAnsi="Times New Roman" w:cs="Times New Roman"/>
          <w:color w:val="000000"/>
          <w:szCs w:val="27"/>
          <w:lang w:eastAsia="zh-Hans"/>
        </w:rPr>
        <w:t>万元。</w:t>
      </w:r>
    </w:p>
    <w:p w14:paraId="51097E74">
      <w:pPr>
        <w:tabs>
          <w:tab w:val="left" w:pos="0"/>
          <w:tab w:val="left" w:pos="840"/>
        </w:tabs>
        <w:spacing w:after="156" w:afterLines="50" w:line="360" w:lineRule="auto"/>
        <w:ind w:firstLine="480" w:firstLineChars="200"/>
        <w:jc w:val="both"/>
        <w:rPr>
          <w:rFonts w:ascii="Times New Roman" w:hAnsi="Times New Roman"/>
          <w:lang w:eastAsia="zh-Hans"/>
        </w:rPr>
      </w:pPr>
      <w:r>
        <w:rPr>
          <w:rFonts w:hint="eastAsia" w:ascii="Times New Roman" w:hAnsi="Times New Roman" w:cs="Times New Roman"/>
          <w:color w:val="000000"/>
          <w:szCs w:val="27"/>
          <w:lang w:eastAsia="zh-Hans"/>
        </w:rPr>
        <w:t>其中，</w:t>
      </w:r>
      <w:r>
        <w:rPr>
          <w:rFonts w:hint="eastAsia" w:ascii="Times New Roman" w:hAnsi="Times New Roman"/>
        </w:rPr>
        <w:t>沪市主板未有首发上市企业；</w:t>
      </w:r>
      <w:r>
        <w:rPr>
          <w:rFonts w:hint="eastAsia" w:ascii="Times New Roman" w:hAnsi="Times New Roman" w:cs="Times New Roman"/>
          <w:color w:val="000000"/>
          <w:szCs w:val="27"/>
          <w:lang w:eastAsia="zh-Hans"/>
        </w:rPr>
        <w:t>深市主板发行1家，共发行</w:t>
      </w:r>
      <w:r>
        <w:rPr>
          <w:rFonts w:ascii="Times New Roman" w:hAnsi="Times New Roman" w:cs="Times New Roman"/>
          <w:kern w:val="2"/>
        </w:rPr>
        <w:t>72,978</w:t>
      </w:r>
      <w:r>
        <w:rPr>
          <w:rFonts w:hint="eastAsia" w:ascii="Times New Roman" w:hAnsi="Times New Roman" w:cs="Times New Roman"/>
          <w:color w:val="000000"/>
          <w:szCs w:val="27"/>
          <w:lang w:eastAsia="zh-Hans"/>
        </w:rPr>
        <w:t>万股，募集资金</w:t>
      </w:r>
      <w:r>
        <w:rPr>
          <w:rFonts w:ascii="Times New Roman" w:hAnsi="Times New Roman" w:cs="Times New Roman"/>
          <w:kern w:val="2"/>
        </w:rPr>
        <w:t>738,537.36</w:t>
      </w:r>
      <w:r>
        <w:rPr>
          <w:rFonts w:hint="eastAsia" w:ascii="Times New Roman" w:hAnsi="Times New Roman" w:cs="Times New Roman"/>
          <w:color w:val="000000"/>
          <w:szCs w:val="27"/>
          <w:lang w:eastAsia="zh-Hans"/>
        </w:rPr>
        <w:t>万元；创业板发行</w:t>
      </w:r>
      <w:r>
        <w:rPr>
          <w:rFonts w:ascii="Times New Roman" w:hAnsi="Times New Roman" w:cs="Times New Roman"/>
          <w:color w:val="000000"/>
          <w:szCs w:val="27"/>
          <w:lang w:eastAsia="zh-Hans"/>
        </w:rPr>
        <w:t>1</w:t>
      </w:r>
      <w:r>
        <w:rPr>
          <w:rFonts w:hint="eastAsia" w:ascii="Times New Roman" w:hAnsi="Times New Roman" w:cs="Times New Roman"/>
          <w:color w:val="000000"/>
          <w:szCs w:val="27"/>
          <w:lang w:eastAsia="zh-Hans"/>
        </w:rPr>
        <w:t>家，共发行</w:t>
      </w:r>
      <w:r>
        <w:rPr>
          <w:rFonts w:ascii="Times New Roman" w:hAnsi="Times New Roman" w:cs="Times New Roman"/>
          <w:kern w:val="2"/>
        </w:rPr>
        <w:t>12,000</w:t>
      </w:r>
      <w:r>
        <w:rPr>
          <w:rFonts w:hint="eastAsia" w:ascii="Times New Roman" w:hAnsi="Times New Roman" w:cs="Times New Roman"/>
          <w:color w:val="000000"/>
          <w:szCs w:val="27"/>
          <w:lang w:eastAsia="zh-Hans"/>
        </w:rPr>
        <w:t>万股，募集资金</w:t>
      </w:r>
      <w:r>
        <w:rPr>
          <w:rFonts w:ascii="Times New Roman" w:hAnsi="Times New Roman" w:cs="Times New Roman"/>
          <w:color w:val="000000"/>
          <w:szCs w:val="27"/>
          <w:lang w:eastAsia="zh-Hans"/>
        </w:rPr>
        <w:t>84,960</w:t>
      </w:r>
      <w:r>
        <w:rPr>
          <w:rFonts w:hint="eastAsia" w:ascii="Times New Roman" w:hAnsi="Times New Roman" w:cs="Times New Roman"/>
          <w:color w:val="000000"/>
          <w:szCs w:val="27"/>
          <w:lang w:eastAsia="zh-Hans"/>
        </w:rPr>
        <w:t>万元；科创板发行</w:t>
      </w:r>
      <w:r>
        <w:rPr>
          <w:rFonts w:ascii="Times New Roman" w:hAnsi="Times New Roman" w:cs="Times New Roman"/>
          <w:color w:val="000000"/>
          <w:szCs w:val="27"/>
          <w:lang w:eastAsia="zh-Hans"/>
        </w:rPr>
        <w:t>1</w:t>
      </w:r>
      <w:r>
        <w:rPr>
          <w:rFonts w:hint="eastAsia" w:ascii="Times New Roman" w:hAnsi="Times New Roman" w:cs="Times New Roman"/>
          <w:color w:val="000000"/>
          <w:szCs w:val="27"/>
          <w:lang w:eastAsia="zh-Hans"/>
        </w:rPr>
        <w:t>家，共发行</w:t>
      </w:r>
      <w:r>
        <w:rPr>
          <w:rFonts w:ascii="Times New Roman" w:hAnsi="Times New Roman" w:cs="Times New Roman"/>
        </w:rPr>
        <w:t>3,882</w:t>
      </w:r>
      <w:r>
        <w:rPr>
          <w:rFonts w:hint="eastAsia" w:ascii="Times New Roman" w:hAnsi="Times New Roman" w:cs="Times New Roman"/>
          <w:color w:val="000000"/>
          <w:szCs w:val="27"/>
          <w:lang w:eastAsia="zh-Hans"/>
        </w:rPr>
        <w:t>万股，募集资金</w:t>
      </w:r>
      <w:r>
        <w:rPr>
          <w:rFonts w:ascii="Times New Roman" w:hAnsi="Times New Roman" w:cs="Times New Roman"/>
          <w:kern w:val="2"/>
          <w:lang w:bidi="ar"/>
        </w:rPr>
        <w:t>172,981.92</w:t>
      </w:r>
      <w:r>
        <w:rPr>
          <w:rFonts w:hint="eastAsia" w:ascii="Times New Roman" w:hAnsi="Times New Roman" w:cs="Times New Roman"/>
          <w:color w:val="000000"/>
          <w:szCs w:val="27"/>
          <w:lang w:eastAsia="zh-Hans"/>
        </w:rPr>
        <w:t>万元；北交所发行</w:t>
      </w:r>
      <w:r>
        <w:rPr>
          <w:rFonts w:ascii="Times New Roman" w:hAnsi="Times New Roman" w:cs="Times New Roman"/>
          <w:color w:val="000000"/>
          <w:szCs w:val="27"/>
          <w:lang w:eastAsia="zh-Hans"/>
        </w:rPr>
        <w:t>6</w:t>
      </w:r>
      <w:r>
        <w:rPr>
          <w:rFonts w:hint="eastAsia" w:ascii="Times New Roman" w:hAnsi="Times New Roman" w:cs="Times New Roman"/>
          <w:color w:val="000000"/>
          <w:szCs w:val="27"/>
          <w:lang w:eastAsia="zh-Hans"/>
        </w:rPr>
        <w:t>家，共发行</w:t>
      </w:r>
      <w:r>
        <w:rPr>
          <w:rFonts w:ascii="Times New Roman" w:hAnsi="Times New Roman" w:cs="Times New Roman"/>
          <w:color w:val="000000"/>
          <w:szCs w:val="27"/>
          <w:lang w:eastAsia="zh-Hans"/>
        </w:rPr>
        <w:t>11,086</w:t>
      </w:r>
      <w:r>
        <w:rPr>
          <w:rFonts w:hint="eastAsia" w:ascii="Times New Roman" w:hAnsi="Times New Roman" w:cs="Times New Roman"/>
          <w:color w:val="000000"/>
          <w:szCs w:val="27"/>
          <w:lang w:eastAsia="zh-Hans"/>
        </w:rPr>
        <w:t>万股，募集资金</w:t>
      </w:r>
      <w:r>
        <w:rPr>
          <w:rFonts w:ascii="Times New Roman" w:hAnsi="Times New Roman" w:cs="Times New Roman"/>
          <w:color w:val="000000"/>
          <w:szCs w:val="27"/>
          <w:lang w:eastAsia="zh-Hans"/>
        </w:rPr>
        <w:t>134,115.89</w:t>
      </w:r>
      <w:r>
        <w:rPr>
          <w:rFonts w:hint="eastAsia" w:ascii="Times New Roman" w:hAnsi="Times New Roman" w:cs="Times New Roman"/>
          <w:color w:val="000000"/>
          <w:szCs w:val="27"/>
          <w:lang w:eastAsia="zh-Hans"/>
        </w:rPr>
        <w:t>万元。</w:t>
      </w:r>
    </w:p>
    <w:p w14:paraId="0498C2AE">
      <w:pPr>
        <w:numPr>
          <w:ilvl w:val="0"/>
          <w:numId w:val="1"/>
        </w:numPr>
        <w:tabs>
          <w:tab w:val="left" w:pos="0"/>
          <w:tab w:val="left" w:pos="840"/>
        </w:tabs>
        <w:spacing w:after="156" w:afterLines="50" w:line="360" w:lineRule="auto"/>
        <w:rPr>
          <w:rFonts w:ascii="Times New Roman" w:hAnsi="Times New Roman"/>
        </w:rPr>
      </w:pPr>
      <w:r>
        <w:rPr>
          <w:rFonts w:ascii="Times New Roman" w:hAnsi="Times New Roman" w:cs="Times New Roman"/>
        </w:rPr>
        <w:t>202</w:t>
      </w:r>
      <w:r>
        <w:rPr>
          <w:rFonts w:hint="eastAsia" w:ascii="Times New Roman" w:hAnsi="Times New Roman" w:cs="Times New Roman"/>
        </w:rPr>
        <w:t>6</w:t>
      </w:r>
      <w:r>
        <w:rPr>
          <w:rFonts w:ascii="Times New Roman" w:hAnsi="Times New Roman" w:cs="Times New Roman"/>
        </w:rPr>
        <w:t>年</w:t>
      </w:r>
      <w:r>
        <w:rPr>
          <w:rFonts w:hint="eastAsia" w:ascii="Times New Roman" w:hAnsi="Times New Roman" w:cs="Times New Roman"/>
        </w:rPr>
        <w:t>6</w:t>
      </w:r>
      <w:r>
        <w:rPr>
          <w:rFonts w:ascii="Times New Roman" w:hAnsi="Times New Roman" w:cs="Times New Roman"/>
        </w:rPr>
        <w:t>月完成首次公开发行公司情况</w:t>
      </w:r>
    </w:p>
    <w:p w14:paraId="553205DF">
      <w:pPr>
        <w:numPr>
          <w:ilvl w:val="0"/>
          <w:numId w:val="2"/>
        </w:numPr>
        <w:tabs>
          <w:tab w:val="left" w:pos="0"/>
          <w:tab w:val="left" w:pos="4680"/>
        </w:tabs>
        <w:spacing w:after="156" w:afterLines="50" w:line="360" w:lineRule="auto"/>
        <w:ind w:left="-480" w:firstLine="480"/>
        <w:rPr>
          <w:rFonts w:ascii="Times New Roman" w:hAnsi="Times New Roman"/>
          <w:b/>
          <w:bCs/>
        </w:rPr>
      </w:pPr>
      <w:r>
        <w:rPr>
          <w:rFonts w:ascii="Times New Roman" w:hAnsi="Times New Roman" w:cs="Times New Roman"/>
          <w:color w:val="000000"/>
        </w:rPr>
        <w:t>沪市主板IPO发行公司情况</w:t>
      </w:r>
    </w:p>
    <w:p w14:paraId="50BE0B94">
      <w:pPr>
        <w:tabs>
          <w:tab w:val="left" w:pos="0"/>
          <w:tab w:val="left" w:pos="840"/>
        </w:tabs>
        <w:spacing w:after="156" w:afterLines="50" w:line="360" w:lineRule="auto"/>
        <w:ind w:firstLine="480" w:firstLineChars="200"/>
        <w:jc w:val="both"/>
        <w:rPr>
          <w:rFonts w:hint="eastAsia" w:ascii="Times New Roman" w:hAnsi="Times New Roman" w:cs="Times New Roman"/>
          <w:color w:val="000000"/>
          <w:szCs w:val="27"/>
          <w:lang w:eastAsia="zh-Hans"/>
        </w:rPr>
      </w:pPr>
      <w:r>
        <w:rPr>
          <w:rFonts w:hint="eastAsia" w:ascii="Times New Roman" w:hAnsi="Times New Roman" w:cs="Times New Roman"/>
          <w:color w:val="000000"/>
          <w:szCs w:val="27"/>
          <w:lang w:eastAsia="zh-Hans"/>
        </w:rPr>
        <w:t>2026年6月</w:t>
      </w:r>
      <w:r>
        <w:rPr>
          <w:rFonts w:hint="eastAsia" w:ascii="Times New Roman" w:hAnsi="Times New Roman" w:cs="Times New Roman"/>
          <w:color w:val="000000"/>
          <w:szCs w:val="27"/>
        </w:rPr>
        <w:t>沪</w:t>
      </w:r>
      <w:r>
        <w:rPr>
          <w:rFonts w:hint="eastAsia" w:ascii="Times New Roman" w:hAnsi="Times New Roman" w:cs="Times New Roman"/>
          <w:color w:val="000000"/>
          <w:szCs w:val="27"/>
          <w:lang w:eastAsia="zh-Hans"/>
        </w:rPr>
        <w:t>市主板未有企业完成首次公开发行。</w:t>
      </w:r>
    </w:p>
    <w:p w14:paraId="3AC4F038">
      <w:pPr>
        <w:numPr>
          <w:ilvl w:val="0"/>
          <w:numId w:val="2"/>
        </w:numPr>
        <w:tabs>
          <w:tab w:val="left" w:pos="0"/>
          <w:tab w:val="left" w:pos="4680"/>
        </w:tabs>
        <w:spacing w:before="312" w:beforeLines="100" w:after="156" w:afterLines="50" w:line="360" w:lineRule="auto"/>
        <w:ind w:left="-480" w:firstLine="480"/>
        <w:rPr>
          <w:rFonts w:ascii="Times New Roman" w:hAnsi="Times New Roman"/>
        </w:rPr>
      </w:pPr>
      <w:r>
        <w:rPr>
          <w:rFonts w:hint="eastAsia" w:ascii="Times New Roman" w:hAnsi="Times New Roman" w:cs="Times New Roman"/>
          <w:color w:val="000000"/>
          <w:lang w:eastAsia="zh-Hans"/>
        </w:rPr>
        <w:t>深</w:t>
      </w:r>
      <w:r>
        <w:rPr>
          <w:rFonts w:ascii="Times New Roman" w:hAnsi="Times New Roman" w:cs="Times New Roman"/>
          <w:color w:val="000000"/>
        </w:rPr>
        <w:t>市主板IPO发行公司情况</w:t>
      </w:r>
    </w:p>
    <w:tbl>
      <w:tblPr>
        <w:tblStyle w:val="8"/>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55"/>
        <w:gridCol w:w="1559"/>
        <w:gridCol w:w="1559"/>
        <w:gridCol w:w="1783"/>
      </w:tblGrid>
      <w:tr w14:paraId="40DC6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blHeader/>
          <w:jc w:val="center"/>
        </w:trPr>
        <w:tc>
          <w:tcPr>
            <w:tcW w:w="1238" w:type="dxa"/>
            <w:shd w:val="solid" w:color="C0C0C0" w:fill="auto"/>
            <w:vAlign w:val="center"/>
          </w:tcPr>
          <w:p w14:paraId="584C7948">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代码</w:t>
            </w:r>
          </w:p>
        </w:tc>
        <w:tc>
          <w:tcPr>
            <w:tcW w:w="1394" w:type="dxa"/>
            <w:shd w:val="solid" w:color="C0C0C0" w:fill="auto"/>
            <w:vAlign w:val="center"/>
          </w:tcPr>
          <w:p w14:paraId="6EB95A3A">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股票简称</w:t>
            </w:r>
          </w:p>
        </w:tc>
        <w:tc>
          <w:tcPr>
            <w:tcW w:w="1755" w:type="dxa"/>
            <w:shd w:val="solid" w:color="C0C0C0" w:fill="auto"/>
            <w:vAlign w:val="center"/>
          </w:tcPr>
          <w:p w14:paraId="47084107">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募集资金总额</w:t>
            </w:r>
            <w:r>
              <w:rPr>
                <w:rFonts w:hint="eastAsia" w:ascii="Times New Roman" w:hAnsi="Times New Roman" w:cs="Times New Roman"/>
                <w:b/>
                <w:shd w:val="clear" w:color="auto" w:fill="C0C0C0"/>
              </w:rPr>
              <w:t>（万元）</w:t>
            </w:r>
          </w:p>
        </w:tc>
        <w:tc>
          <w:tcPr>
            <w:tcW w:w="1559" w:type="dxa"/>
            <w:shd w:val="solid" w:color="C0C0C0" w:fill="auto"/>
            <w:vAlign w:val="center"/>
          </w:tcPr>
          <w:p w14:paraId="5446BF3B">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上市日期</w:t>
            </w:r>
          </w:p>
        </w:tc>
        <w:tc>
          <w:tcPr>
            <w:tcW w:w="1559" w:type="dxa"/>
            <w:shd w:val="solid" w:color="C0C0C0" w:fill="auto"/>
            <w:vAlign w:val="center"/>
          </w:tcPr>
          <w:p w14:paraId="5C429850">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发行价</w:t>
            </w:r>
            <w:r>
              <w:rPr>
                <w:rFonts w:hint="eastAsia" w:ascii="Times New Roman" w:hAnsi="Times New Roman" w:cs="Times New Roman"/>
                <w:b/>
                <w:shd w:val="clear" w:color="auto" w:fill="C0C0C0"/>
              </w:rPr>
              <w:t>（元）</w:t>
            </w:r>
          </w:p>
        </w:tc>
        <w:tc>
          <w:tcPr>
            <w:tcW w:w="1783" w:type="dxa"/>
            <w:shd w:val="solid" w:color="C0C0C0" w:fill="auto"/>
            <w:vAlign w:val="center"/>
          </w:tcPr>
          <w:p w14:paraId="5A260033">
            <w:pPr>
              <w:shd w:val="solid" w:color="C0C0C0" w:fill="auto"/>
              <w:autoSpaceDN w:val="0"/>
              <w:jc w:val="center"/>
              <w:textAlignment w:val="center"/>
              <w:rPr>
                <w:rFonts w:ascii="Times New Roman" w:hAnsi="Times New Roman"/>
                <w:b/>
                <w:shd w:val="clear" w:color="auto" w:fill="C0C0C0"/>
              </w:rPr>
            </w:pPr>
            <w:r>
              <w:rPr>
                <w:rFonts w:ascii="Times New Roman" w:hAnsi="Times New Roman" w:cs="Times New Roman"/>
                <w:b/>
                <w:shd w:val="clear" w:color="auto" w:fill="C0C0C0"/>
              </w:rPr>
              <w:t>发行量</w:t>
            </w:r>
          </w:p>
          <w:p w14:paraId="3D33B5F0">
            <w:pPr>
              <w:shd w:val="solid" w:color="C0C0C0" w:fill="auto"/>
              <w:autoSpaceDN w:val="0"/>
              <w:jc w:val="center"/>
              <w:textAlignment w:val="center"/>
              <w:rPr>
                <w:rFonts w:ascii="Times New Roman" w:hAnsi="Times New Roman"/>
                <w:b/>
                <w:bCs/>
              </w:rPr>
            </w:pPr>
            <w:r>
              <w:rPr>
                <w:rFonts w:hint="eastAsia" w:ascii="Times New Roman" w:hAnsi="Times New Roman" w:cs="Times New Roman"/>
                <w:b/>
                <w:shd w:val="clear" w:color="auto" w:fill="C0C0C0"/>
              </w:rPr>
              <w:t>（万股）</w:t>
            </w:r>
          </w:p>
        </w:tc>
      </w:tr>
      <w:tr w14:paraId="26555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vAlign w:val="center"/>
          </w:tcPr>
          <w:p w14:paraId="68BC3A0C">
            <w:pPr>
              <w:shd w:val="solid" w:color="FFFFFF" w:fill="auto"/>
              <w:autoSpaceDN w:val="0"/>
              <w:jc w:val="center"/>
              <w:textAlignment w:val="center"/>
              <w:rPr>
                <w:rFonts w:hint="eastAsia" w:ascii="Times New Roman" w:hAnsi="Times New Roman"/>
              </w:rPr>
            </w:pPr>
            <w:r>
              <w:rPr>
                <w:rFonts w:hint="eastAsia" w:ascii="Times New Roman" w:hAnsi="Times New Roman" w:cs="Times New Roman"/>
              </w:rPr>
              <w:t>001399</w:t>
            </w:r>
          </w:p>
        </w:tc>
        <w:tc>
          <w:tcPr>
            <w:tcW w:w="1394" w:type="dxa"/>
            <w:shd w:val="solid" w:color="FFFFFF" w:fill="auto"/>
            <w:vAlign w:val="center"/>
          </w:tcPr>
          <w:p w14:paraId="4DB25C1B">
            <w:pPr>
              <w:shd w:val="solid" w:color="FFFFFF" w:fill="auto"/>
              <w:autoSpaceDN w:val="0"/>
              <w:jc w:val="center"/>
              <w:textAlignment w:val="center"/>
              <w:rPr>
                <w:rFonts w:ascii="Times New Roman" w:hAnsi="Times New Roman"/>
              </w:rPr>
            </w:pPr>
            <w:r>
              <w:rPr>
                <w:rFonts w:hint="eastAsia" w:ascii="Times New Roman" w:hAnsi="Times New Roman" w:cs="Times New Roman"/>
              </w:rPr>
              <w:t>惠科股份</w:t>
            </w:r>
          </w:p>
        </w:tc>
        <w:tc>
          <w:tcPr>
            <w:tcW w:w="1755" w:type="dxa"/>
            <w:shd w:val="solid" w:color="FFFFFF" w:fill="auto"/>
            <w:vAlign w:val="center"/>
          </w:tcPr>
          <w:p w14:paraId="588BDDA9">
            <w:pPr>
              <w:shd w:val="solid" w:color="FFFFFF" w:fill="auto"/>
              <w:autoSpaceDN w:val="0"/>
              <w:jc w:val="right"/>
              <w:textAlignment w:val="center"/>
              <w:rPr>
                <w:rFonts w:hint="eastAsia" w:ascii="Times New Roman" w:hAnsi="Times New Roman"/>
              </w:rPr>
            </w:pPr>
            <w:r>
              <w:rPr>
                <w:rFonts w:hint="eastAsia" w:ascii="Times New Roman" w:hAnsi="Times New Roman"/>
              </w:rPr>
              <w:t>738</w:t>
            </w:r>
            <w:r>
              <w:rPr>
                <w:rFonts w:ascii="Times New Roman" w:hAnsi="Times New Roman"/>
              </w:rPr>
              <w:t>,</w:t>
            </w:r>
            <w:r>
              <w:rPr>
                <w:rFonts w:hint="eastAsia" w:ascii="Times New Roman" w:hAnsi="Times New Roman"/>
              </w:rPr>
              <w:t>537.36</w:t>
            </w:r>
          </w:p>
        </w:tc>
        <w:tc>
          <w:tcPr>
            <w:tcW w:w="1559" w:type="dxa"/>
            <w:shd w:val="solid" w:color="FFFFFF" w:fill="auto"/>
            <w:vAlign w:val="center"/>
          </w:tcPr>
          <w:p w14:paraId="0EB96A26">
            <w:pPr>
              <w:shd w:val="solid" w:color="FFFFFF" w:fill="auto"/>
              <w:autoSpaceDN w:val="0"/>
              <w:jc w:val="center"/>
              <w:textAlignment w:val="center"/>
              <w:rPr>
                <w:rFonts w:hint="eastAsia" w:ascii="Times New Roman" w:hAnsi="Times New Roman"/>
              </w:rPr>
            </w:pPr>
            <w:r>
              <w:rPr>
                <w:rFonts w:ascii="Times New Roman" w:hAnsi="Times New Roman" w:cs="Times New Roman"/>
              </w:rPr>
              <w:t>2026-0</w:t>
            </w:r>
            <w:r>
              <w:rPr>
                <w:rFonts w:hint="eastAsia" w:ascii="Times New Roman" w:hAnsi="Times New Roman" w:cs="Times New Roman"/>
              </w:rPr>
              <w:t>6-26</w:t>
            </w:r>
          </w:p>
        </w:tc>
        <w:tc>
          <w:tcPr>
            <w:tcW w:w="1559" w:type="dxa"/>
            <w:shd w:val="solid" w:color="FFFFFF" w:fill="auto"/>
            <w:vAlign w:val="center"/>
          </w:tcPr>
          <w:p w14:paraId="776D6D07">
            <w:pPr>
              <w:shd w:val="solid" w:color="FFFFFF" w:fill="auto"/>
              <w:autoSpaceDN w:val="0"/>
              <w:jc w:val="right"/>
              <w:textAlignment w:val="center"/>
              <w:rPr>
                <w:rFonts w:hint="eastAsia" w:ascii="Times New Roman" w:hAnsi="Times New Roman"/>
              </w:rPr>
            </w:pPr>
            <w:r>
              <w:rPr>
                <w:rFonts w:hint="eastAsia" w:ascii="Times New Roman" w:hAnsi="Times New Roman" w:cs="Times New Roman"/>
              </w:rPr>
              <w:t>10.12</w:t>
            </w:r>
          </w:p>
        </w:tc>
        <w:tc>
          <w:tcPr>
            <w:tcW w:w="1783" w:type="dxa"/>
            <w:shd w:val="solid" w:color="FFFFFF" w:fill="auto"/>
            <w:vAlign w:val="center"/>
          </w:tcPr>
          <w:p w14:paraId="01A595C6">
            <w:pPr>
              <w:shd w:val="solid" w:color="FFFFFF" w:fill="auto"/>
              <w:autoSpaceDN w:val="0"/>
              <w:jc w:val="right"/>
              <w:textAlignment w:val="center"/>
              <w:rPr>
                <w:rFonts w:hint="eastAsia" w:ascii="Times New Roman" w:hAnsi="Times New Roman"/>
              </w:rPr>
            </w:pPr>
            <w:r>
              <w:rPr>
                <w:rFonts w:ascii="Times New Roman" w:hAnsi="Times New Roman" w:cs="Times New Roman"/>
              </w:rPr>
              <w:t>72,978</w:t>
            </w:r>
          </w:p>
        </w:tc>
      </w:tr>
      <w:tr w14:paraId="26D71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vAlign w:val="center"/>
          </w:tcPr>
          <w:p w14:paraId="47B34DC9">
            <w:pPr>
              <w:shd w:val="solid" w:color="FFFFFF" w:fill="auto"/>
              <w:autoSpaceDN w:val="0"/>
              <w:jc w:val="center"/>
              <w:textAlignment w:val="center"/>
              <w:rPr>
                <w:rFonts w:ascii="Times New Roman" w:hAnsi="Times New Roman"/>
                <w:b/>
                <w:bCs/>
                <w:lang w:eastAsia="zh-Hans"/>
              </w:rPr>
            </w:pPr>
            <w:r>
              <w:rPr>
                <w:rFonts w:ascii="Times New Roman" w:hAnsi="Times New Roman" w:cs="Times New Roman"/>
                <w:b/>
                <w:bCs/>
                <w:lang w:eastAsia="zh-Hans"/>
              </w:rPr>
              <w:t>总计</w:t>
            </w:r>
          </w:p>
        </w:tc>
        <w:tc>
          <w:tcPr>
            <w:tcW w:w="1394" w:type="dxa"/>
            <w:shd w:val="solid" w:color="FFFFFF" w:fill="auto"/>
            <w:vAlign w:val="center"/>
          </w:tcPr>
          <w:p w14:paraId="752996B3">
            <w:pPr>
              <w:shd w:val="solid" w:color="FFFFFF" w:fill="auto"/>
              <w:autoSpaceDN w:val="0"/>
              <w:jc w:val="center"/>
              <w:textAlignment w:val="center"/>
              <w:rPr>
                <w:rFonts w:ascii="Times New Roman" w:hAnsi="Times New Roman"/>
                <w:b/>
                <w:bCs/>
              </w:rPr>
            </w:pPr>
          </w:p>
        </w:tc>
        <w:tc>
          <w:tcPr>
            <w:tcW w:w="1755" w:type="dxa"/>
            <w:shd w:val="solid" w:color="FFFFFF" w:fill="auto"/>
            <w:vAlign w:val="center"/>
          </w:tcPr>
          <w:p w14:paraId="5756B808">
            <w:pPr>
              <w:shd w:val="solid" w:color="FFFFFF" w:fill="auto"/>
              <w:autoSpaceDN w:val="0"/>
              <w:jc w:val="right"/>
              <w:textAlignment w:val="center"/>
              <w:rPr>
                <w:rFonts w:ascii="Times New Roman" w:hAnsi="Times New Roman"/>
                <w:b/>
                <w:bCs/>
              </w:rPr>
            </w:pPr>
            <w:r>
              <w:rPr>
                <w:rFonts w:hint="eastAsia" w:ascii="Times New Roman" w:hAnsi="Times New Roman"/>
                <w:b/>
                <w:bCs/>
              </w:rPr>
              <w:t>738</w:t>
            </w:r>
            <w:r>
              <w:rPr>
                <w:rFonts w:ascii="Times New Roman" w:hAnsi="Times New Roman"/>
                <w:b/>
                <w:bCs/>
              </w:rPr>
              <w:t>,</w:t>
            </w:r>
            <w:r>
              <w:rPr>
                <w:rFonts w:hint="eastAsia" w:ascii="Times New Roman" w:hAnsi="Times New Roman"/>
                <w:b/>
                <w:bCs/>
              </w:rPr>
              <w:t>537.36</w:t>
            </w:r>
          </w:p>
        </w:tc>
        <w:tc>
          <w:tcPr>
            <w:tcW w:w="1559" w:type="dxa"/>
            <w:shd w:val="solid" w:color="FFFFFF" w:fill="auto"/>
            <w:vAlign w:val="center"/>
          </w:tcPr>
          <w:p w14:paraId="5D2BDFE4">
            <w:pPr>
              <w:shd w:val="solid" w:color="FFFFFF" w:fill="auto"/>
              <w:autoSpaceDN w:val="0"/>
              <w:jc w:val="center"/>
              <w:textAlignment w:val="center"/>
              <w:rPr>
                <w:rFonts w:ascii="Times New Roman" w:hAnsi="Times New Roman"/>
                <w:b/>
                <w:bCs/>
              </w:rPr>
            </w:pPr>
          </w:p>
        </w:tc>
        <w:tc>
          <w:tcPr>
            <w:tcW w:w="1559" w:type="dxa"/>
            <w:shd w:val="solid" w:color="FFFFFF" w:fill="auto"/>
            <w:vAlign w:val="center"/>
          </w:tcPr>
          <w:p w14:paraId="781BBCC9">
            <w:pPr>
              <w:shd w:val="solid" w:color="FFFFFF" w:fill="auto"/>
              <w:autoSpaceDN w:val="0"/>
              <w:jc w:val="right"/>
              <w:textAlignment w:val="center"/>
              <w:rPr>
                <w:rFonts w:ascii="Times New Roman" w:hAnsi="Times New Roman"/>
                <w:b/>
                <w:bCs/>
              </w:rPr>
            </w:pPr>
          </w:p>
        </w:tc>
        <w:tc>
          <w:tcPr>
            <w:tcW w:w="1783" w:type="dxa"/>
            <w:shd w:val="solid" w:color="FFFFFF" w:fill="auto"/>
            <w:vAlign w:val="center"/>
          </w:tcPr>
          <w:p w14:paraId="00CAAC34">
            <w:pPr>
              <w:shd w:val="solid" w:color="FFFFFF" w:fill="auto"/>
              <w:autoSpaceDN w:val="0"/>
              <w:jc w:val="right"/>
              <w:textAlignment w:val="center"/>
              <w:rPr>
                <w:rFonts w:ascii="Times New Roman" w:hAnsi="Times New Roman"/>
                <w:b/>
                <w:bCs/>
              </w:rPr>
            </w:pPr>
            <w:r>
              <w:rPr>
                <w:rFonts w:ascii="Times New Roman" w:hAnsi="Times New Roman" w:cs="Times New Roman"/>
                <w:b/>
                <w:bCs/>
              </w:rPr>
              <w:t>72,978</w:t>
            </w:r>
          </w:p>
        </w:tc>
      </w:tr>
    </w:tbl>
    <w:p w14:paraId="69FF6B46">
      <w:pPr>
        <w:numPr>
          <w:ilvl w:val="0"/>
          <w:numId w:val="2"/>
        </w:numPr>
        <w:tabs>
          <w:tab w:val="left" w:pos="0"/>
          <w:tab w:val="left" w:pos="4680"/>
        </w:tabs>
        <w:spacing w:before="312" w:beforeLines="100" w:after="156" w:afterLines="50" w:line="360" w:lineRule="auto"/>
        <w:ind w:left="-480" w:firstLine="480"/>
        <w:rPr>
          <w:rFonts w:ascii="Times New Roman" w:hAnsi="Times New Roman"/>
          <w:lang w:eastAsia="zh-Hans"/>
        </w:rPr>
      </w:pPr>
      <w:r>
        <w:rPr>
          <w:rFonts w:hint="eastAsia" w:ascii="Times New Roman" w:hAnsi="Times New Roman" w:cs="Times New Roman"/>
          <w:color w:val="000000"/>
          <w:lang w:eastAsia="zh-Hans"/>
        </w:rPr>
        <w:t>创业板IPO发行公司情况</w:t>
      </w:r>
    </w:p>
    <w:tbl>
      <w:tblPr>
        <w:tblStyle w:val="8"/>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55"/>
        <w:gridCol w:w="1559"/>
        <w:gridCol w:w="1559"/>
        <w:gridCol w:w="1783"/>
      </w:tblGrid>
      <w:tr w14:paraId="64A40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blHeader/>
          <w:jc w:val="center"/>
        </w:trPr>
        <w:tc>
          <w:tcPr>
            <w:tcW w:w="1238" w:type="dxa"/>
            <w:shd w:val="solid" w:color="C0C0C0" w:fill="auto"/>
            <w:vAlign w:val="center"/>
          </w:tcPr>
          <w:p w14:paraId="0DE51E98">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代码</w:t>
            </w:r>
          </w:p>
        </w:tc>
        <w:tc>
          <w:tcPr>
            <w:tcW w:w="1394" w:type="dxa"/>
            <w:shd w:val="solid" w:color="C0C0C0" w:fill="auto"/>
            <w:vAlign w:val="center"/>
          </w:tcPr>
          <w:p w14:paraId="6B773E13">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股票简称</w:t>
            </w:r>
          </w:p>
        </w:tc>
        <w:tc>
          <w:tcPr>
            <w:tcW w:w="1755" w:type="dxa"/>
            <w:shd w:val="solid" w:color="C0C0C0" w:fill="auto"/>
            <w:vAlign w:val="center"/>
          </w:tcPr>
          <w:p w14:paraId="7CF0931B">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募集资金总额</w:t>
            </w:r>
            <w:r>
              <w:rPr>
                <w:rFonts w:hint="eastAsia" w:ascii="Times New Roman" w:hAnsi="Times New Roman" w:cs="Times New Roman"/>
                <w:b/>
                <w:shd w:val="clear" w:color="auto" w:fill="C0C0C0"/>
              </w:rPr>
              <w:t>（万元）</w:t>
            </w:r>
          </w:p>
        </w:tc>
        <w:tc>
          <w:tcPr>
            <w:tcW w:w="1559" w:type="dxa"/>
            <w:shd w:val="solid" w:color="C0C0C0" w:fill="auto"/>
            <w:vAlign w:val="center"/>
          </w:tcPr>
          <w:p w14:paraId="7C3A55C1">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上市日期</w:t>
            </w:r>
          </w:p>
        </w:tc>
        <w:tc>
          <w:tcPr>
            <w:tcW w:w="1559" w:type="dxa"/>
            <w:shd w:val="solid" w:color="C0C0C0" w:fill="auto"/>
            <w:vAlign w:val="center"/>
          </w:tcPr>
          <w:p w14:paraId="3BA52E19">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发行价</w:t>
            </w:r>
            <w:r>
              <w:rPr>
                <w:rFonts w:hint="eastAsia" w:ascii="Times New Roman" w:hAnsi="Times New Roman" w:cs="Times New Roman"/>
                <w:b/>
                <w:shd w:val="clear" w:color="auto" w:fill="C0C0C0"/>
              </w:rPr>
              <w:t>（元）</w:t>
            </w:r>
          </w:p>
        </w:tc>
        <w:tc>
          <w:tcPr>
            <w:tcW w:w="1783" w:type="dxa"/>
            <w:shd w:val="solid" w:color="C0C0C0" w:fill="auto"/>
            <w:vAlign w:val="center"/>
          </w:tcPr>
          <w:p w14:paraId="5C0DAEBD">
            <w:pPr>
              <w:shd w:val="solid" w:color="C0C0C0" w:fill="auto"/>
              <w:autoSpaceDN w:val="0"/>
              <w:jc w:val="center"/>
              <w:textAlignment w:val="center"/>
              <w:rPr>
                <w:rFonts w:ascii="Times New Roman" w:hAnsi="Times New Roman"/>
                <w:b/>
                <w:shd w:val="clear" w:color="auto" w:fill="C0C0C0"/>
              </w:rPr>
            </w:pPr>
            <w:r>
              <w:rPr>
                <w:rFonts w:ascii="Times New Roman" w:hAnsi="Times New Roman" w:cs="Times New Roman"/>
                <w:b/>
                <w:shd w:val="clear" w:color="auto" w:fill="C0C0C0"/>
              </w:rPr>
              <w:t>发行量</w:t>
            </w:r>
          </w:p>
          <w:p w14:paraId="6D940BBB">
            <w:pPr>
              <w:shd w:val="solid" w:color="C0C0C0" w:fill="auto"/>
              <w:autoSpaceDN w:val="0"/>
              <w:jc w:val="center"/>
              <w:textAlignment w:val="center"/>
              <w:rPr>
                <w:rFonts w:ascii="Times New Roman" w:hAnsi="Times New Roman"/>
                <w:b/>
                <w:bCs/>
              </w:rPr>
            </w:pPr>
            <w:r>
              <w:rPr>
                <w:rFonts w:hint="eastAsia" w:ascii="Times New Roman" w:hAnsi="Times New Roman" w:cs="Times New Roman"/>
                <w:b/>
                <w:shd w:val="clear" w:color="auto" w:fill="C0C0C0"/>
              </w:rPr>
              <w:t>（万股）</w:t>
            </w:r>
          </w:p>
        </w:tc>
      </w:tr>
      <w:tr w14:paraId="61E16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vAlign w:val="center"/>
          </w:tcPr>
          <w:p w14:paraId="66BB530A">
            <w:pPr>
              <w:shd w:val="solid" w:color="FFFFFF" w:fill="auto"/>
              <w:autoSpaceDN w:val="0"/>
              <w:jc w:val="center"/>
              <w:textAlignment w:val="center"/>
              <w:rPr>
                <w:rFonts w:ascii="Times New Roman" w:hAnsi="Times New Roman"/>
              </w:rPr>
            </w:pPr>
            <w:r>
              <w:rPr>
                <w:rFonts w:hint="eastAsia" w:ascii="Times New Roman" w:hAnsi="Times New Roman" w:cs="Times New Roman"/>
                <w:kern w:val="2"/>
                <w:lang w:eastAsia="zh-Hans"/>
              </w:rPr>
              <w:t>301669</w:t>
            </w:r>
          </w:p>
        </w:tc>
        <w:tc>
          <w:tcPr>
            <w:tcW w:w="1394" w:type="dxa"/>
            <w:shd w:val="solid" w:color="FFFFFF" w:fill="auto"/>
            <w:vAlign w:val="center"/>
          </w:tcPr>
          <w:p w14:paraId="6E547BBA">
            <w:pPr>
              <w:shd w:val="solid" w:color="FFFFFF" w:fill="auto"/>
              <w:autoSpaceDN w:val="0"/>
              <w:jc w:val="center"/>
              <w:textAlignment w:val="center"/>
              <w:rPr>
                <w:rFonts w:ascii="Times New Roman" w:hAnsi="Times New Roman"/>
              </w:rPr>
            </w:pPr>
            <w:r>
              <w:rPr>
                <w:rFonts w:hint="eastAsia" w:ascii="Times New Roman" w:hAnsi="Times New Roman"/>
              </w:rPr>
              <w:t>高特电子</w:t>
            </w:r>
          </w:p>
        </w:tc>
        <w:tc>
          <w:tcPr>
            <w:tcW w:w="1755" w:type="dxa"/>
            <w:shd w:val="solid" w:color="FFFFFF" w:fill="auto"/>
            <w:vAlign w:val="center"/>
          </w:tcPr>
          <w:p w14:paraId="2FE7F60F">
            <w:pPr>
              <w:shd w:val="solid" w:color="FFFFFF" w:fill="auto"/>
              <w:autoSpaceDN w:val="0"/>
              <w:jc w:val="right"/>
              <w:textAlignment w:val="center"/>
              <w:rPr>
                <w:rFonts w:hint="eastAsia" w:ascii="Times New Roman" w:hAnsi="Times New Roman"/>
              </w:rPr>
            </w:pPr>
            <w:r>
              <w:rPr>
                <w:rFonts w:hint="eastAsia" w:ascii="Times New Roman" w:hAnsi="Times New Roman" w:cs="Times New Roman"/>
                <w:kern w:val="2"/>
              </w:rPr>
              <w:t>84</w:t>
            </w:r>
            <w:r>
              <w:rPr>
                <w:rFonts w:ascii="Times New Roman" w:hAnsi="Times New Roman" w:cs="Times New Roman"/>
                <w:kern w:val="2"/>
              </w:rPr>
              <w:t>,</w:t>
            </w:r>
            <w:r>
              <w:rPr>
                <w:rFonts w:hint="eastAsia" w:ascii="Times New Roman" w:hAnsi="Times New Roman" w:cs="Times New Roman"/>
                <w:kern w:val="2"/>
              </w:rPr>
              <w:t>960</w:t>
            </w:r>
          </w:p>
        </w:tc>
        <w:tc>
          <w:tcPr>
            <w:tcW w:w="1559" w:type="dxa"/>
            <w:shd w:val="solid" w:color="FFFFFF" w:fill="auto"/>
            <w:vAlign w:val="center"/>
          </w:tcPr>
          <w:p w14:paraId="1C59620A">
            <w:pPr>
              <w:shd w:val="solid" w:color="FFFFFF" w:fill="auto"/>
              <w:autoSpaceDN w:val="0"/>
              <w:jc w:val="center"/>
              <w:textAlignment w:val="center"/>
              <w:rPr>
                <w:rFonts w:hint="eastAsia" w:ascii="Times New Roman" w:hAnsi="Times New Roman"/>
              </w:rPr>
            </w:pPr>
            <w:r>
              <w:rPr>
                <w:rFonts w:ascii="Times New Roman" w:hAnsi="Times New Roman" w:cs="Times New Roman"/>
              </w:rPr>
              <w:t>2026-0</w:t>
            </w:r>
            <w:r>
              <w:rPr>
                <w:rFonts w:hint="eastAsia" w:ascii="Times New Roman" w:hAnsi="Times New Roman" w:cs="Times New Roman"/>
              </w:rPr>
              <w:t>6-09</w:t>
            </w:r>
          </w:p>
        </w:tc>
        <w:tc>
          <w:tcPr>
            <w:tcW w:w="1559" w:type="dxa"/>
            <w:shd w:val="solid" w:color="FFFFFF" w:fill="auto"/>
            <w:vAlign w:val="center"/>
          </w:tcPr>
          <w:p w14:paraId="747C279F">
            <w:pPr>
              <w:shd w:val="solid" w:color="FFFFFF" w:fill="auto"/>
              <w:autoSpaceDN w:val="0"/>
              <w:jc w:val="right"/>
              <w:textAlignment w:val="center"/>
              <w:rPr>
                <w:rFonts w:hint="eastAsia" w:ascii="Times New Roman" w:hAnsi="Times New Roman"/>
              </w:rPr>
            </w:pPr>
            <w:r>
              <w:rPr>
                <w:rFonts w:hint="eastAsia" w:ascii="Times New Roman" w:hAnsi="Times New Roman" w:cs="Times New Roman"/>
                <w:kern w:val="2"/>
              </w:rPr>
              <w:t>7.08</w:t>
            </w:r>
          </w:p>
        </w:tc>
        <w:tc>
          <w:tcPr>
            <w:tcW w:w="1783" w:type="dxa"/>
            <w:shd w:val="solid" w:color="FFFFFF" w:fill="auto"/>
            <w:vAlign w:val="center"/>
          </w:tcPr>
          <w:p w14:paraId="75E5FD3B">
            <w:pPr>
              <w:shd w:val="solid" w:color="FFFFFF" w:fill="auto"/>
              <w:autoSpaceDN w:val="0"/>
              <w:jc w:val="right"/>
              <w:textAlignment w:val="center"/>
              <w:rPr>
                <w:rFonts w:ascii="Times New Roman" w:hAnsi="Times New Roman"/>
              </w:rPr>
            </w:pPr>
            <w:r>
              <w:rPr>
                <w:rFonts w:ascii="Times New Roman" w:hAnsi="Times New Roman" w:cs="Times New Roman"/>
                <w:kern w:val="2"/>
              </w:rPr>
              <w:t>12,000</w:t>
            </w:r>
          </w:p>
        </w:tc>
      </w:tr>
      <w:tr w14:paraId="5FD44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vAlign w:val="center"/>
          </w:tcPr>
          <w:p w14:paraId="626588C6">
            <w:pPr>
              <w:shd w:val="solid" w:color="FFFFFF" w:fill="auto"/>
              <w:autoSpaceDN w:val="0"/>
              <w:jc w:val="center"/>
              <w:textAlignment w:val="center"/>
              <w:rPr>
                <w:rFonts w:ascii="Times New Roman" w:hAnsi="Times New Roman"/>
                <w:b/>
                <w:bCs/>
              </w:rPr>
            </w:pPr>
            <w:r>
              <w:rPr>
                <w:rFonts w:ascii="Times New Roman" w:hAnsi="Times New Roman" w:cs="Times New Roman"/>
                <w:b/>
                <w:bCs/>
                <w:lang w:eastAsia="zh-Hans"/>
              </w:rPr>
              <w:t>总计</w:t>
            </w:r>
          </w:p>
        </w:tc>
        <w:tc>
          <w:tcPr>
            <w:tcW w:w="1394" w:type="dxa"/>
            <w:shd w:val="solid" w:color="FFFFFF" w:fill="auto"/>
            <w:vAlign w:val="center"/>
          </w:tcPr>
          <w:p w14:paraId="27D5DC77">
            <w:pPr>
              <w:shd w:val="solid" w:color="FFFFFF" w:fill="auto"/>
              <w:autoSpaceDN w:val="0"/>
              <w:jc w:val="center"/>
              <w:textAlignment w:val="center"/>
              <w:rPr>
                <w:rFonts w:ascii="Times New Roman" w:hAnsi="Times New Roman"/>
                <w:b/>
                <w:bCs/>
              </w:rPr>
            </w:pPr>
          </w:p>
        </w:tc>
        <w:tc>
          <w:tcPr>
            <w:tcW w:w="1755" w:type="dxa"/>
            <w:shd w:val="solid" w:color="FFFFFF" w:fill="auto"/>
            <w:vAlign w:val="center"/>
          </w:tcPr>
          <w:p w14:paraId="02024958">
            <w:pPr>
              <w:jc w:val="right"/>
              <w:textAlignment w:val="center"/>
              <w:rPr>
                <w:rFonts w:ascii="Times New Roman" w:hAnsi="Times New Roman"/>
                <w:b/>
                <w:bCs/>
                <w:lang w:bidi="ar"/>
              </w:rPr>
            </w:pPr>
            <w:r>
              <w:rPr>
                <w:rFonts w:hint="eastAsia" w:ascii="Times New Roman" w:hAnsi="Times New Roman" w:cs="Times New Roman"/>
                <w:b/>
                <w:bCs/>
                <w:kern w:val="2"/>
              </w:rPr>
              <w:t>84</w:t>
            </w:r>
            <w:r>
              <w:rPr>
                <w:rFonts w:ascii="Times New Roman" w:hAnsi="Times New Roman" w:cs="Times New Roman"/>
                <w:b/>
                <w:bCs/>
                <w:kern w:val="2"/>
              </w:rPr>
              <w:t>,</w:t>
            </w:r>
            <w:r>
              <w:rPr>
                <w:rFonts w:hint="eastAsia" w:ascii="Times New Roman" w:hAnsi="Times New Roman" w:cs="Times New Roman"/>
                <w:b/>
                <w:bCs/>
                <w:kern w:val="2"/>
              </w:rPr>
              <w:t>960</w:t>
            </w:r>
          </w:p>
        </w:tc>
        <w:tc>
          <w:tcPr>
            <w:tcW w:w="1559" w:type="dxa"/>
            <w:shd w:val="solid" w:color="FFFFFF" w:fill="auto"/>
            <w:vAlign w:val="center"/>
          </w:tcPr>
          <w:p w14:paraId="4D9BC909">
            <w:pPr>
              <w:shd w:val="solid" w:color="FFFFFF" w:fill="auto"/>
              <w:autoSpaceDN w:val="0"/>
              <w:jc w:val="center"/>
              <w:textAlignment w:val="center"/>
              <w:rPr>
                <w:rFonts w:ascii="Times New Roman" w:hAnsi="Times New Roman"/>
                <w:b/>
                <w:bCs/>
              </w:rPr>
            </w:pPr>
          </w:p>
        </w:tc>
        <w:tc>
          <w:tcPr>
            <w:tcW w:w="1559" w:type="dxa"/>
            <w:shd w:val="solid" w:color="FFFFFF" w:fill="auto"/>
            <w:vAlign w:val="center"/>
          </w:tcPr>
          <w:p w14:paraId="2CCEDF8F">
            <w:pPr>
              <w:shd w:val="solid" w:color="FFFFFF" w:fill="auto"/>
              <w:autoSpaceDN w:val="0"/>
              <w:jc w:val="right"/>
              <w:textAlignment w:val="center"/>
              <w:rPr>
                <w:rFonts w:ascii="Times New Roman" w:hAnsi="Times New Roman"/>
                <w:b/>
                <w:bCs/>
              </w:rPr>
            </w:pPr>
          </w:p>
        </w:tc>
        <w:tc>
          <w:tcPr>
            <w:tcW w:w="1783" w:type="dxa"/>
            <w:shd w:val="solid" w:color="FFFFFF" w:fill="auto"/>
            <w:vAlign w:val="center"/>
          </w:tcPr>
          <w:p w14:paraId="0DAFA556">
            <w:pPr>
              <w:shd w:val="solid" w:color="FFFFFF" w:fill="auto"/>
              <w:autoSpaceDN w:val="0"/>
              <w:jc w:val="right"/>
              <w:textAlignment w:val="center"/>
              <w:rPr>
                <w:rFonts w:ascii="Times New Roman Bold" w:hAnsi="Times New Roman Bold" w:cs="Times New Roman Bold"/>
                <w:b/>
                <w:bCs/>
              </w:rPr>
            </w:pPr>
            <w:r>
              <w:rPr>
                <w:rFonts w:ascii="Times New Roman" w:hAnsi="Times New Roman" w:cs="Times New Roman"/>
                <w:b/>
                <w:bCs/>
                <w:kern w:val="2"/>
              </w:rPr>
              <w:t>12,000</w:t>
            </w:r>
          </w:p>
        </w:tc>
      </w:tr>
    </w:tbl>
    <w:p w14:paraId="5B73DD00">
      <w:pPr>
        <w:numPr>
          <w:ilvl w:val="0"/>
          <w:numId w:val="2"/>
        </w:numPr>
        <w:tabs>
          <w:tab w:val="left" w:pos="0"/>
          <w:tab w:val="left" w:pos="4680"/>
        </w:tabs>
        <w:spacing w:before="312" w:beforeLines="100" w:after="156" w:afterLines="50" w:line="360" w:lineRule="auto"/>
        <w:ind w:left="-480" w:firstLine="480"/>
        <w:rPr>
          <w:rFonts w:ascii="Times New Roman" w:hAnsi="Times New Roman"/>
          <w:lang w:eastAsia="zh-Hans"/>
        </w:rPr>
      </w:pPr>
      <w:r>
        <w:rPr>
          <w:rFonts w:hint="eastAsia" w:ascii="Times New Roman" w:hAnsi="Times New Roman" w:cs="Times New Roman"/>
          <w:color w:val="000000"/>
          <w:lang w:eastAsia="zh-Hans"/>
        </w:rPr>
        <w:t>科创板IPO发行公司情况</w:t>
      </w:r>
    </w:p>
    <w:tbl>
      <w:tblPr>
        <w:tblStyle w:val="8"/>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55"/>
        <w:gridCol w:w="1559"/>
        <w:gridCol w:w="1559"/>
        <w:gridCol w:w="1783"/>
      </w:tblGrid>
      <w:tr w14:paraId="4F84C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blHeader/>
          <w:jc w:val="center"/>
        </w:trPr>
        <w:tc>
          <w:tcPr>
            <w:tcW w:w="1238" w:type="dxa"/>
            <w:shd w:val="solid" w:color="C0C0C0" w:fill="auto"/>
            <w:vAlign w:val="center"/>
          </w:tcPr>
          <w:p w14:paraId="1D1A1965">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代码</w:t>
            </w:r>
          </w:p>
        </w:tc>
        <w:tc>
          <w:tcPr>
            <w:tcW w:w="1394" w:type="dxa"/>
            <w:shd w:val="solid" w:color="C0C0C0" w:fill="auto"/>
            <w:vAlign w:val="center"/>
          </w:tcPr>
          <w:p w14:paraId="160409ED">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股票简称</w:t>
            </w:r>
          </w:p>
        </w:tc>
        <w:tc>
          <w:tcPr>
            <w:tcW w:w="1755" w:type="dxa"/>
            <w:shd w:val="solid" w:color="C0C0C0" w:fill="auto"/>
            <w:vAlign w:val="center"/>
          </w:tcPr>
          <w:p w14:paraId="1B95D437">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募集资金总额</w:t>
            </w:r>
            <w:r>
              <w:rPr>
                <w:rFonts w:hint="eastAsia" w:ascii="Times New Roman" w:hAnsi="Times New Roman" w:cs="Times New Roman"/>
                <w:b/>
                <w:shd w:val="clear" w:color="auto" w:fill="C0C0C0"/>
              </w:rPr>
              <w:t>（万元）</w:t>
            </w:r>
          </w:p>
        </w:tc>
        <w:tc>
          <w:tcPr>
            <w:tcW w:w="1559" w:type="dxa"/>
            <w:shd w:val="solid" w:color="C0C0C0" w:fill="auto"/>
            <w:vAlign w:val="center"/>
          </w:tcPr>
          <w:p w14:paraId="4722ED82">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上市日期</w:t>
            </w:r>
          </w:p>
        </w:tc>
        <w:tc>
          <w:tcPr>
            <w:tcW w:w="1559" w:type="dxa"/>
            <w:shd w:val="solid" w:color="C0C0C0" w:fill="auto"/>
            <w:vAlign w:val="center"/>
          </w:tcPr>
          <w:p w14:paraId="4443F109">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发行价</w:t>
            </w:r>
            <w:r>
              <w:rPr>
                <w:rFonts w:hint="eastAsia" w:ascii="Times New Roman" w:hAnsi="Times New Roman" w:cs="Times New Roman"/>
                <w:b/>
                <w:shd w:val="clear" w:color="auto" w:fill="C0C0C0"/>
              </w:rPr>
              <w:t>（元）</w:t>
            </w:r>
          </w:p>
        </w:tc>
        <w:tc>
          <w:tcPr>
            <w:tcW w:w="1783" w:type="dxa"/>
            <w:shd w:val="solid" w:color="C0C0C0" w:fill="auto"/>
            <w:vAlign w:val="center"/>
          </w:tcPr>
          <w:p w14:paraId="369FF2AE">
            <w:pPr>
              <w:shd w:val="solid" w:color="C0C0C0" w:fill="auto"/>
              <w:autoSpaceDN w:val="0"/>
              <w:jc w:val="center"/>
              <w:textAlignment w:val="center"/>
              <w:rPr>
                <w:rFonts w:ascii="Times New Roman" w:hAnsi="Times New Roman"/>
                <w:b/>
                <w:shd w:val="clear" w:color="auto" w:fill="C0C0C0"/>
              </w:rPr>
            </w:pPr>
            <w:r>
              <w:rPr>
                <w:rFonts w:ascii="Times New Roman" w:hAnsi="Times New Roman" w:cs="Times New Roman"/>
                <w:b/>
                <w:shd w:val="clear" w:color="auto" w:fill="C0C0C0"/>
              </w:rPr>
              <w:t>发行量</w:t>
            </w:r>
          </w:p>
          <w:p w14:paraId="56312CBC">
            <w:pPr>
              <w:shd w:val="solid" w:color="C0C0C0" w:fill="auto"/>
              <w:autoSpaceDN w:val="0"/>
              <w:jc w:val="center"/>
              <w:textAlignment w:val="center"/>
              <w:rPr>
                <w:rFonts w:ascii="Times New Roman" w:hAnsi="Times New Roman"/>
                <w:b/>
                <w:bCs/>
              </w:rPr>
            </w:pPr>
            <w:r>
              <w:rPr>
                <w:rFonts w:hint="eastAsia" w:ascii="Times New Roman" w:hAnsi="Times New Roman" w:cs="Times New Roman"/>
                <w:b/>
                <w:shd w:val="clear" w:color="auto" w:fill="C0C0C0"/>
              </w:rPr>
              <w:t>（万股）</w:t>
            </w:r>
          </w:p>
        </w:tc>
      </w:tr>
      <w:tr w14:paraId="6A260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vAlign w:val="center"/>
          </w:tcPr>
          <w:p w14:paraId="2958AB11">
            <w:pPr>
              <w:shd w:val="solid" w:color="FFFFFF" w:fill="auto"/>
              <w:autoSpaceDN w:val="0"/>
              <w:jc w:val="center"/>
              <w:textAlignment w:val="center"/>
              <w:rPr>
                <w:rFonts w:ascii="Times New Roman" w:hAnsi="Times New Roman"/>
              </w:rPr>
            </w:pPr>
            <w:r>
              <w:rPr>
                <w:rFonts w:ascii="Times New Roman" w:hAnsi="Times New Roman" w:cs="Times New Roman"/>
              </w:rPr>
              <w:t>688797</w:t>
            </w:r>
          </w:p>
        </w:tc>
        <w:tc>
          <w:tcPr>
            <w:tcW w:w="1394" w:type="dxa"/>
            <w:shd w:val="solid" w:color="FFFFFF" w:fill="auto"/>
            <w:vAlign w:val="center"/>
          </w:tcPr>
          <w:p w14:paraId="11A601F9">
            <w:pPr>
              <w:shd w:val="solid" w:color="FFFFFF" w:fill="auto"/>
              <w:autoSpaceDN w:val="0"/>
              <w:jc w:val="center"/>
              <w:textAlignment w:val="center"/>
              <w:rPr>
                <w:rFonts w:ascii="Times New Roman" w:hAnsi="Times New Roman"/>
              </w:rPr>
            </w:pPr>
            <w:r>
              <w:rPr>
                <w:rFonts w:ascii="Times New Roman" w:hAnsi="Times New Roman" w:cs="Times New Roman"/>
              </w:rPr>
              <w:t>臻宝科技</w:t>
            </w:r>
          </w:p>
        </w:tc>
        <w:tc>
          <w:tcPr>
            <w:tcW w:w="1755" w:type="dxa"/>
            <w:shd w:val="solid" w:color="FFFFFF" w:fill="auto"/>
            <w:vAlign w:val="center"/>
          </w:tcPr>
          <w:p w14:paraId="66B00FCD">
            <w:pPr>
              <w:shd w:val="solid" w:color="FFFFFF" w:fill="auto"/>
              <w:autoSpaceDN w:val="0"/>
              <w:jc w:val="right"/>
              <w:textAlignment w:val="center"/>
              <w:rPr>
                <w:rFonts w:hint="eastAsia" w:ascii="Times New Roman" w:hAnsi="Times New Roman"/>
              </w:rPr>
            </w:pPr>
            <w:r>
              <w:rPr>
                <w:rFonts w:hint="eastAsia" w:ascii="Times New Roman" w:hAnsi="Times New Roman"/>
                <w:lang w:bidi="ar"/>
              </w:rPr>
              <w:t>172</w:t>
            </w:r>
            <w:r>
              <w:rPr>
                <w:rFonts w:ascii="Times New Roman" w:hAnsi="Times New Roman"/>
                <w:lang w:bidi="ar"/>
              </w:rPr>
              <w:t>,</w:t>
            </w:r>
            <w:r>
              <w:rPr>
                <w:rFonts w:hint="eastAsia" w:ascii="Times New Roman" w:hAnsi="Times New Roman"/>
                <w:lang w:bidi="ar"/>
              </w:rPr>
              <w:t>981.92</w:t>
            </w:r>
          </w:p>
        </w:tc>
        <w:tc>
          <w:tcPr>
            <w:tcW w:w="1559" w:type="dxa"/>
            <w:shd w:val="solid" w:color="FFFFFF" w:fill="auto"/>
            <w:vAlign w:val="center"/>
          </w:tcPr>
          <w:p w14:paraId="0FEA1943">
            <w:pPr>
              <w:shd w:val="solid" w:color="FFFFFF" w:fill="auto"/>
              <w:autoSpaceDN w:val="0"/>
              <w:jc w:val="center"/>
              <w:textAlignment w:val="center"/>
              <w:rPr>
                <w:rFonts w:ascii="Times New Roman" w:hAnsi="Times New Roman"/>
              </w:rPr>
            </w:pPr>
            <w:r>
              <w:rPr>
                <w:rFonts w:ascii="Times New Roman" w:hAnsi="Times New Roman" w:cs="Times New Roman"/>
              </w:rPr>
              <w:t>2026-06-24</w:t>
            </w:r>
          </w:p>
        </w:tc>
        <w:tc>
          <w:tcPr>
            <w:tcW w:w="1559" w:type="dxa"/>
            <w:shd w:val="solid" w:color="FFFFFF" w:fill="auto"/>
            <w:vAlign w:val="center"/>
          </w:tcPr>
          <w:p w14:paraId="5DE96EBB">
            <w:pPr>
              <w:shd w:val="solid" w:color="FFFFFF" w:fill="auto"/>
              <w:autoSpaceDN w:val="0"/>
              <w:jc w:val="right"/>
              <w:textAlignment w:val="center"/>
              <w:rPr>
                <w:rFonts w:ascii="Times New Roman" w:hAnsi="Times New Roman"/>
              </w:rPr>
            </w:pPr>
            <w:r>
              <w:rPr>
                <w:rFonts w:ascii="Times New Roman" w:hAnsi="Times New Roman" w:cs="Times New Roman"/>
              </w:rPr>
              <w:t>44.56</w:t>
            </w:r>
          </w:p>
        </w:tc>
        <w:tc>
          <w:tcPr>
            <w:tcW w:w="1783" w:type="dxa"/>
            <w:shd w:val="solid" w:color="FFFFFF" w:fill="auto"/>
            <w:vAlign w:val="center"/>
          </w:tcPr>
          <w:p w14:paraId="4DE987F2">
            <w:pPr>
              <w:shd w:val="solid" w:color="FFFFFF" w:fill="auto"/>
              <w:autoSpaceDN w:val="0"/>
              <w:jc w:val="right"/>
              <w:textAlignment w:val="center"/>
              <w:rPr>
                <w:rFonts w:ascii="Times New Roman" w:hAnsi="Times New Roman"/>
              </w:rPr>
            </w:pPr>
            <w:r>
              <w:rPr>
                <w:rFonts w:ascii="Times New Roman" w:hAnsi="Times New Roman" w:cs="Times New Roman"/>
              </w:rPr>
              <w:t>3,882</w:t>
            </w:r>
          </w:p>
        </w:tc>
      </w:tr>
      <w:tr w14:paraId="1CDFB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solid" w:color="FFFFFF" w:fill="auto"/>
            <w:vAlign w:val="center"/>
          </w:tcPr>
          <w:p w14:paraId="753AC4A9">
            <w:pPr>
              <w:shd w:val="solid" w:color="FFFFFF" w:fill="auto"/>
              <w:autoSpaceDN w:val="0"/>
              <w:jc w:val="center"/>
              <w:textAlignment w:val="center"/>
              <w:rPr>
                <w:rFonts w:ascii="Times New Roman" w:hAnsi="Times New Roman"/>
                <w:b/>
                <w:bCs/>
              </w:rPr>
            </w:pPr>
            <w:r>
              <w:rPr>
                <w:rFonts w:ascii="Times New Roman" w:hAnsi="Times New Roman" w:cs="Times New Roman"/>
                <w:b/>
                <w:bCs/>
                <w:lang w:eastAsia="zh-Hans"/>
              </w:rPr>
              <w:t>总计</w:t>
            </w:r>
          </w:p>
        </w:tc>
        <w:tc>
          <w:tcPr>
            <w:tcW w:w="1394" w:type="dxa"/>
            <w:shd w:val="solid" w:color="FFFFFF" w:fill="auto"/>
            <w:vAlign w:val="center"/>
          </w:tcPr>
          <w:p w14:paraId="61236FD4">
            <w:pPr>
              <w:shd w:val="solid" w:color="FFFFFF" w:fill="auto"/>
              <w:autoSpaceDN w:val="0"/>
              <w:jc w:val="center"/>
              <w:textAlignment w:val="center"/>
              <w:rPr>
                <w:rFonts w:ascii="Times New Roman" w:hAnsi="Times New Roman"/>
                <w:b/>
                <w:bCs/>
              </w:rPr>
            </w:pPr>
          </w:p>
        </w:tc>
        <w:tc>
          <w:tcPr>
            <w:tcW w:w="1755" w:type="dxa"/>
            <w:vAlign w:val="center"/>
          </w:tcPr>
          <w:p w14:paraId="16647391">
            <w:pPr>
              <w:shd w:val="solid" w:color="FFFFFF" w:fill="auto"/>
              <w:autoSpaceDN w:val="0"/>
              <w:jc w:val="right"/>
              <w:textAlignment w:val="center"/>
              <w:rPr>
                <w:rFonts w:ascii="Times New Roman" w:hAnsi="Times New Roman"/>
                <w:b/>
                <w:bCs/>
                <w:lang w:bidi="ar"/>
              </w:rPr>
            </w:pPr>
            <w:r>
              <w:rPr>
                <w:rFonts w:hint="eastAsia" w:ascii="Times New Roman" w:hAnsi="Times New Roman"/>
                <w:b/>
                <w:bCs/>
                <w:lang w:bidi="ar"/>
              </w:rPr>
              <w:t>172</w:t>
            </w:r>
            <w:r>
              <w:rPr>
                <w:rFonts w:ascii="Times New Roman" w:hAnsi="Times New Roman"/>
                <w:b/>
                <w:bCs/>
                <w:lang w:bidi="ar"/>
              </w:rPr>
              <w:t>,</w:t>
            </w:r>
            <w:r>
              <w:rPr>
                <w:rFonts w:hint="eastAsia" w:ascii="Times New Roman" w:hAnsi="Times New Roman"/>
                <w:b/>
                <w:bCs/>
                <w:lang w:bidi="ar"/>
              </w:rPr>
              <w:t>981.92</w:t>
            </w:r>
          </w:p>
        </w:tc>
        <w:tc>
          <w:tcPr>
            <w:tcW w:w="1559" w:type="dxa"/>
            <w:shd w:val="solid" w:color="FFFFFF" w:fill="auto"/>
            <w:vAlign w:val="center"/>
          </w:tcPr>
          <w:p w14:paraId="5BAEADBC">
            <w:pPr>
              <w:shd w:val="solid" w:color="FFFFFF" w:fill="auto"/>
              <w:autoSpaceDN w:val="0"/>
              <w:jc w:val="right"/>
              <w:textAlignment w:val="center"/>
              <w:rPr>
                <w:rFonts w:ascii="Times New Roman" w:hAnsi="Times New Roman"/>
                <w:b/>
                <w:bCs/>
                <w:lang w:bidi="ar"/>
              </w:rPr>
            </w:pPr>
          </w:p>
        </w:tc>
        <w:tc>
          <w:tcPr>
            <w:tcW w:w="1559" w:type="dxa"/>
            <w:shd w:val="solid" w:color="FFFFFF" w:fill="auto"/>
            <w:vAlign w:val="center"/>
          </w:tcPr>
          <w:p w14:paraId="02AE4E05">
            <w:pPr>
              <w:shd w:val="solid" w:color="FFFFFF" w:fill="auto"/>
              <w:autoSpaceDN w:val="0"/>
              <w:jc w:val="right"/>
              <w:textAlignment w:val="center"/>
              <w:rPr>
                <w:rFonts w:ascii="Times New Roman" w:hAnsi="Times New Roman"/>
                <w:b/>
                <w:bCs/>
              </w:rPr>
            </w:pPr>
          </w:p>
        </w:tc>
        <w:tc>
          <w:tcPr>
            <w:tcW w:w="1783" w:type="dxa"/>
            <w:shd w:val="solid" w:color="FFFFFF" w:fill="auto"/>
            <w:vAlign w:val="center"/>
          </w:tcPr>
          <w:p w14:paraId="55BD9ABD">
            <w:pPr>
              <w:shd w:val="solid" w:color="FFFFFF" w:fill="auto"/>
              <w:autoSpaceDN w:val="0"/>
              <w:jc w:val="right"/>
              <w:textAlignment w:val="center"/>
              <w:rPr>
                <w:rFonts w:ascii="Times New Roman" w:hAnsi="Times New Roman"/>
                <w:b/>
                <w:bCs/>
              </w:rPr>
            </w:pPr>
            <w:r>
              <w:rPr>
                <w:rFonts w:ascii="Times New Roman" w:hAnsi="Times New Roman" w:cs="Times New Roman"/>
                <w:b/>
                <w:bCs/>
              </w:rPr>
              <w:t>3,882</w:t>
            </w:r>
          </w:p>
        </w:tc>
      </w:tr>
    </w:tbl>
    <w:p w14:paraId="6F8D3FF1">
      <w:pPr>
        <w:numPr>
          <w:ilvl w:val="0"/>
          <w:numId w:val="2"/>
        </w:numPr>
        <w:tabs>
          <w:tab w:val="left" w:pos="0"/>
          <w:tab w:val="left" w:pos="4680"/>
        </w:tabs>
        <w:spacing w:before="312" w:beforeLines="100" w:after="156" w:afterLines="50" w:line="360" w:lineRule="auto"/>
        <w:ind w:left="-480" w:firstLine="480"/>
        <w:rPr>
          <w:rFonts w:ascii="Times New Roman" w:hAnsi="Times New Roman"/>
          <w:lang w:eastAsia="zh-Hans"/>
        </w:rPr>
      </w:pPr>
      <w:r>
        <w:rPr>
          <w:rFonts w:hint="eastAsia" w:ascii="Times New Roman" w:hAnsi="Times New Roman" w:cs="Times New Roman"/>
          <w:color w:val="000000"/>
          <w:lang w:eastAsia="zh-Hans"/>
        </w:rPr>
        <w:t>北交所IPO发行公司情况</w:t>
      </w:r>
    </w:p>
    <w:tbl>
      <w:tblPr>
        <w:tblStyle w:val="8"/>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394"/>
        <w:gridCol w:w="1721"/>
        <w:gridCol w:w="1575"/>
        <w:gridCol w:w="1575"/>
        <w:gridCol w:w="1785"/>
      </w:tblGrid>
      <w:tr w14:paraId="6DFAA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1238" w:type="dxa"/>
            <w:shd w:val="solid" w:color="C0C0C0" w:fill="auto"/>
            <w:vAlign w:val="center"/>
          </w:tcPr>
          <w:p w14:paraId="78D1B4A4">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代码</w:t>
            </w:r>
          </w:p>
        </w:tc>
        <w:tc>
          <w:tcPr>
            <w:tcW w:w="1394" w:type="dxa"/>
            <w:shd w:val="solid" w:color="C0C0C0" w:fill="auto"/>
            <w:vAlign w:val="center"/>
          </w:tcPr>
          <w:p w14:paraId="437404A8">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股票简称</w:t>
            </w:r>
          </w:p>
        </w:tc>
        <w:tc>
          <w:tcPr>
            <w:tcW w:w="1721" w:type="dxa"/>
            <w:shd w:val="solid" w:color="C0C0C0" w:fill="auto"/>
            <w:vAlign w:val="center"/>
          </w:tcPr>
          <w:p w14:paraId="4E74D9F7">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募集资金总额</w:t>
            </w:r>
            <w:r>
              <w:rPr>
                <w:rFonts w:hint="eastAsia" w:ascii="Times New Roman" w:hAnsi="Times New Roman" w:cs="Times New Roman"/>
                <w:b/>
                <w:shd w:val="clear" w:color="auto" w:fill="C0C0C0"/>
              </w:rPr>
              <w:t>（万元）</w:t>
            </w:r>
          </w:p>
        </w:tc>
        <w:tc>
          <w:tcPr>
            <w:tcW w:w="1575" w:type="dxa"/>
            <w:shd w:val="solid" w:color="C0C0C0" w:fill="auto"/>
            <w:vAlign w:val="center"/>
          </w:tcPr>
          <w:p w14:paraId="483F4F2C">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上市日期</w:t>
            </w:r>
          </w:p>
        </w:tc>
        <w:tc>
          <w:tcPr>
            <w:tcW w:w="1575" w:type="dxa"/>
            <w:shd w:val="solid" w:color="C0C0C0" w:fill="auto"/>
            <w:vAlign w:val="center"/>
          </w:tcPr>
          <w:p w14:paraId="1ABDD6DC">
            <w:pPr>
              <w:shd w:val="solid" w:color="C0C0C0" w:fill="auto"/>
              <w:autoSpaceDN w:val="0"/>
              <w:jc w:val="center"/>
              <w:textAlignment w:val="center"/>
              <w:rPr>
                <w:rFonts w:ascii="Times New Roman" w:hAnsi="Times New Roman"/>
                <w:b/>
                <w:bCs/>
              </w:rPr>
            </w:pPr>
            <w:r>
              <w:rPr>
                <w:rFonts w:ascii="Times New Roman" w:hAnsi="Times New Roman" w:cs="Times New Roman"/>
                <w:b/>
                <w:shd w:val="clear" w:color="auto" w:fill="C0C0C0"/>
              </w:rPr>
              <w:t>发行价</w:t>
            </w:r>
            <w:r>
              <w:rPr>
                <w:rFonts w:hint="eastAsia" w:ascii="Times New Roman" w:hAnsi="Times New Roman" w:cs="Times New Roman"/>
                <w:b/>
                <w:shd w:val="clear" w:color="auto" w:fill="C0C0C0"/>
              </w:rPr>
              <w:t>（元）</w:t>
            </w:r>
          </w:p>
        </w:tc>
        <w:tc>
          <w:tcPr>
            <w:tcW w:w="1785" w:type="dxa"/>
            <w:shd w:val="solid" w:color="C0C0C0" w:fill="auto"/>
            <w:vAlign w:val="center"/>
          </w:tcPr>
          <w:p w14:paraId="7E760AD6">
            <w:pPr>
              <w:shd w:val="solid" w:color="C0C0C0" w:fill="auto"/>
              <w:autoSpaceDN w:val="0"/>
              <w:jc w:val="center"/>
              <w:textAlignment w:val="center"/>
              <w:rPr>
                <w:rFonts w:ascii="Times New Roman" w:hAnsi="Times New Roman"/>
                <w:b/>
                <w:shd w:val="clear" w:color="auto" w:fill="C0C0C0"/>
              </w:rPr>
            </w:pPr>
            <w:r>
              <w:rPr>
                <w:rFonts w:ascii="Times New Roman" w:hAnsi="Times New Roman" w:cs="Times New Roman"/>
                <w:b/>
                <w:shd w:val="clear" w:color="auto" w:fill="C0C0C0"/>
              </w:rPr>
              <w:t>发行量</w:t>
            </w:r>
          </w:p>
          <w:p w14:paraId="4306D205">
            <w:pPr>
              <w:shd w:val="solid" w:color="C0C0C0" w:fill="auto"/>
              <w:autoSpaceDN w:val="0"/>
              <w:jc w:val="center"/>
              <w:textAlignment w:val="center"/>
              <w:rPr>
                <w:rFonts w:ascii="Times New Roman" w:hAnsi="Times New Roman"/>
                <w:b/>
                <w:bCs/>
              </w:rPr>
            </w:pPr>
            <w:r>
              <w:rPr>
                <w:rFonts w:hint="eastAsia" w:ascii="Times New Roman" w:hAnsi="Times New Roman" w:cs="Times New Roman"/>
                <w:b/>
                <w:shd w:val="clear" w:color="auto" w:fill="C0C0C0"/>
              </w:rPr>
              <w:t>（万股）</w:t>
            </w:r>
          </w:p>
        </w:tc>
      </w:tr>
      <w:tr w14:paraId="5116E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vAlign w:val="center"/>
          </w:tcPr>
          <w:p w14:paraId="466B6845">
            <w:pPr>
              <w:shd w:val="solid" w:color="FFFFFF" w:fill="auto"/>
              <w:autoSpaceDN w:val="0"/>
              <w:jc w:val="center"/>
              <w:textAlignment w:val="center"/>
              <w:rPr>
                <w:rFonts w:hint="eastAsia" w:ascii="Times New Roman" w:hAnsi="Times New Roman"/>
              </w:rPr>
            </w:pPr>
            <w:r>
              <w:rPr>
                <w:rFonts w:ascii="Times New Roman" w:hAnsi="Times New Roman"/>
              </w:rPr>
              <w:t>920222</w:t>
            </w:r>
          </w:p>
        </w:tc>
        <w:tc>
          <w:tcPr>
            <w:tcW w:w="1394" w:type="dxa"/>
            <w:shd w:val="clear" w:color="C0C0C0" w:fill="auto"/>
            <w:vAlign w:val="center"/>
          </w:tcPr>
          <w:p w14:paraId="129B0701">
            <w:pPr>
              <w:shd w:val="solid" w:color="FFFFFF" w:fill="auto"/>
              <w:autoSpaceDN w:val="0"/>
              <w:jc w:val="center"/>
              <w:textAlignment w:val="center"/>
              <w:rPr>
                <w:rFonts w:ascii="Times New Roman" w:hAnsi="Times New Roman"/>
              </w:rPr>
            </w:pPr>
            <w:r>
              <w:rPr>
                <w:rFonts w:ascii="Times New Roman" w:hAnsi="Times New Roman"/>
              </w:rPr>
              <w:t>益坤电气</w:t>
            </w:r>
          </w:p>
        </w:tc>
        <w:tc>
          <w:tcPr>
            <w:tcW w:w="1721" w:type="dxa"/>
            <w:shd w:val="clear" w:color="C0C0C0" w:fill="auto"/>
            <w:vAlign w:val="center"/>
          </w:tcPr>
          <w:p w14:paraId="47BBFD44">
            <w:pPr>
              <w:shd w:val="solid" w:color="FFFFFF" w:fill="auto"/>
              <w:autoSpaceDN w:val="0"/>
              <w:jc w:val="right"/>
              <w:textAlignment w:val="center"/>
              <w:rPr>
                <w:rFonts w:ascii="Times New Roman" w:hAnsi="Times New Roman"/>
              </w:rPr>
            </w:pPr>
            <w:r>
              <w:rPr>
                <w:rFonts w:ascii="Times New Roman" w:hAnsi="Times New Roman"/>
              </w:rPr>
              <w:t>12,965.65</w:t>
            </w:r>
          </w:p>
        </w:tc>
        <w:tc>
          <w:tcPr>
            <w:tcW w:w="1575" w:type="dxa"/>
            <w:shd w:val="clear" w:color="C0C0C0" w:fill="auto"/>
            <w:vAlign w:val="center"/>
          </w:tcPr>
          <w:p w14:paraId="0FE98D67">
            <w:pPr>
              <w:shd w:val="solid" w:color="FFFFFF" w:fill="auto"/>
              <w:autoSpaceDN w:val="0"/>
              <w:jc w:val="center"/>
              <w:textAlignment w:val="center"/>
              <w:rPr>
                <w:rFonts w:hint="eastAsia" w:ascii="Times New Roman" w:hAnsi="Times New Roman" w:cs="Times New Roman"/>
              </w:rPr>
            </w:pPr>
            <w:r>
              <w:rPr>
                <w:rFonts w:ascii="Times New Roman" w:hAnsi="Times New Roman" w:cs="Times New Roman"/>
              </w:rPr>
              <w:t>2026-06-30</w:t>
            </w:r>
          </w:p>
        </w:tc>
        <w:tc>
          <w:tcPr>
            <w:tcW w:w="1575" w:type="dxa"/>
            <w:shd w:val="clear" w:color="C0C0C0" w:fill="auto"/>
            <w:vAlign w:val="center"/>
          </w:tcPr>
          <w:p w14:paraId="215E1AFA">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10.09</w:t>
            </w:r>
          </w:p>
        </w:tc>
        <w:tc>
          <w:tcPr>
            <w:tcW w:w="1785" w:type="dxa"/>
            <w:shd w:val="clear" w:color="C0C0C0" w:fill="auto"/>
            <w:vAlign w:val="center"/>
          </w:tcPr>
          <w:p w14:paraId="337D9DE0">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1</w:t>
            </w:r>
            <w:r>
              <w:rPr>
                <w:rFonts w:ascii="Times New Roman" w:hAnsi="Times New Roman" w:cs="Times New Roman"/>
              </w:rPr>
              <w:t>,</w:t>
            </w:r>
            <w:r>
              <w:rPr>
                <w:rFonts w:hint="eastAsia" w:ascii="Times New Roman" w:hAnsi="Times New Roman" w:cs="Times New Roman"/>
              </w:rPr>
              <w:t>285</w:t>
            </w:r>
          </w:p>
        </w:tc>
      </w:tr>
      <w:tr w14:paraId="29A72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vAlign w:val="center"/>
          </w:tcPr>
          <w:p w14:paraId="35132F29">
            <w:pPr>
              <w:shd w:val="solid" w:color="FFFFFF" w:fill="auto"/>
              <w:autoSpaceDN w:val="0"/>
              <w:jc w:val="center"/>
              <w:textAlignment w:val="center"/>
              <w:rPr>
                <w:rFonts w:ascii="Times New Roman" w:hAnsi="Times New Roman"/>
              </w:rPr>
            </w:pPr>
            <w:r>
              <w:rPr>
                <w:rFonts w:ascii="Times New Roman" w:hAnsi="Times New Roman"/>
              </w:rPr>
              <w:t>920072</w:t>
            </w:r>
          </w:p>
        </w:tc>
        <w:tc>
          <w:tcPr>
            <w:tcW w:w="1394" w:type="dxa"/>
            <w:shd w:val="clear" w:color="C0C0C0" w:fill="auto"/>
            <w:vAlign w:val="center"/>
          </w:tcPr>
          <w:p w14:paraId="62CBE877">
            <w:pPr>
              <w:shd w:val="solid" w:color="FFFFFF" w:fill="auto"/>
              <w:autoSpaceDN w:val="0"/>
              <w:jc w:val="center"/>
              <w:textAlignment w:val="center"/>
              <w:rPr>
                <w:rFonts w:ascii="Times New Roman" w:hAnsi="Times New Roman"/>
              </w:rPr>
            </w:pPr>
            <w:r>
              <w:rPr>
                <w:rFonts w:ascii="Times New Roman" w:hAnsi="Times New Roman"/>
              </w:rPr>
              <w:t>科莱瑞迪</w:t>
            </w:r>
          </w:p>
        </w:tc>
        <w:tc>
          <w:tcPr>
            <w:tcW w:w="1721" w:type="dxa"/>
            <w:shd w:val="clear" w:color="C0C0C0" w:fill="auto"/>
            <w:vAlign w:val="center"/>
          </w:tcPr>
          <w:p w14:paraId="4B757B54">
            <w:pPr>
              <w:shd w:val="solid" w:color="FFFFFF" w:fill="auto"/>
              <w:autoSpaceDN w:val="0"/>
              <w:jc w:val="right"/>
              <w:textAlignment w:val="center"/>
              <w:rPr>
                <w:rFonts w:ascii="Times New Roman" w:hAnsi="Times New Roman"/>
              </w:rPr>
            </w:pPr>
            <w:r>
              <w:rPr>
                <w:rFonts w:ascii="Times New Roman" w:hAnsi="Times New Roman"/>
              </w:rPr>
              <w:t>23,117.60</w:t>
            </w:r>
          </w:p>
        </w:tc>
        <w:tc>
          <w:tcPr>
            <w:tcW w:w="1575" w:type="dxa"/>
            <w:shd w:val="clear" w:color="C0C0C0" w:fill="auto"/>
            <w:vAlign w:val="center"/>
          </w:tcPr>
          <w:p w14:paraId="3982A410">
            <w:pPr>
              <w:shd w:val="solid" w:color="FFFFFF" w:fill="auto"/>
              <w:autoSpaceDN w:val="0"/>
              <w:jc w:val="center"/>
              <w:textAlignment w:val="center"/>
              <w:rPr>
                <w:rFonts w:hint="eastAsia" w:ascii="Times New Roman" w:hAnsi="Times New Roman" w:cs="Times New Roman"/>
              </w:rPr>
            </w:pPr>
            <w:r>
              <w:rPr>
                <w:rFonts w:ascii="Times New Roman" w:hAnsi="Times New Roman" w:cs="Times New Roman"/>
              </w:rPr>
              <w:t>2026-06-29</w:t>
            </w:r>
          </w:p>
        </w:tc>
        <w:tc>
          <w:tcPr>
            <w:tcW w:w="1575" w:type="dxa"/>
            <w:shd w:val="clear" w:color="C0C0C0" w:fill="auto"/>
            <w:vAlign w:val="center"/>
          </w:tcPr>
          <w:p w14:paraId="7FFA0B34">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15.62</w:t>
            </w:r>
          </w:p>
        </w:tc>
        <w:tc>
          <w:tcPr>
            <w:tcW w:w="1785" w:type="dxa"/>
            <w:shd w:val="clear" w:color="C0C0C0" w:fill="auto"/>
            <w:vAlign w:val="center"/>
          </w:tcPr>
          <w:p w14:paraId="172530DF">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1</w:t>
            </w:r>
            <w:r>
              <w:rPr>
                <w:rFonts w:ascii="Times New Roman" w:hAnsi="Times New Roman" w:cs="Times New Roman"/>
              </w:rPr>
              <w:t>,</w:t>
            </w:r>
            <w:r>
              <w:rPr>
                <w:rFonts w:hint="eastAsia" w:ascii="Times New Roman" w:hAnsi="Times New Roman" w:cs="Times New Roman"/>
              </w:rPr>
              <w:t>480</w:t>
            </w:r>
          </w:p>
        </w:tc>
      </w:tr>
      <w:tr w14:paraId="46230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vAlign w:val="center"/>
          </w:tcPr>
          <w:p w14:paraId="57CD1B74">
            <w:pPr>
              <w:shd w:val="solid" w:color="FFFFFF" w:fill="auto"/>
              <w:autoSpaceDN w:val="0"/>
              <w:jc w:val="center"/>
              <w:textAlignment w:val="center"/>
              <w:rPr>
                <w:rFonts w:ascii="Times New Roman" w:hAnsi="Times New Roman"/>
              </w:rPr>
            </w:pPr>
            <w:r>
              <w:rPr>
                <w:rFonts w:ascii="Times New Roman" w:hAnsi="Times New Roman"/>
              </w:rPr>
              <w:t>920126</w:t>
            </w:r>
          </w:p>
        </w:tc>
        <w:tc>
          <w:tcPr>
            <w:tcW w:w="1394" w:type="dxa"/>
            <w:shd w:val="clear" w:color="C0C0C0" w:fill="auto"/>
            <w:vAlign w:val="center"/>
          </w:tcPr>
          <w:p w14:paraId="59B866ED">
            <w:pPr>
              <w:shd w:val="solid" w:color="FFFFFF" w:fill="auto"/>
              <w:autoSpaceDN w:val="0"/>
              <w:jc w:val="center"/>
              <w:textAlignment w:val="center"/>
              <w:rPr>
                <w:rFonts w:ascii="Times New Roman" w:hAnsi="Times New Roman"/>
                <w:lang w:eastAsia="zh-Hans"/>
              </w:rPr>
            </w:pPr>
            <w:r>
              <w:rPr>
                <w:rFonts w:ascii="Times New Roman" w:hAnsi="Times New Roman"/>
                <w:lang w:eastAsia="zh-Hans"/>
              </w:rPr>
              <w:t>永大股份</w:t>
            </w:r>
          </w:p>
        </w:tc>
        <w:tc>
          <w:tcPr>
            <w:tcW w:w="1721" w:type="dxa"/>
            <w:shd w:val="clear" w:color="C0C0C0" w:fill="auto"/>
            <w:vAlign w:val="center"/>
          </w:tcPr>
          <w:p w14:paraId="4DDC5CD1">
            <w:pPr>
              <w:shd w:val="solid" w:color="FFFFFF" w:fill="auto"/>
              <w:autoSpaceDN w:val="0"/>
              <w:jc w:val="right"/>
              <w:textAlignment w:val="center"/>
              <w:rPr>
                <w:rFonts w:ascii="Times New Roman" w:hAnsi="Times New Roman"/>
              </w:rPr>
            </w:pPr>
            <w:r>
              <w:rPr>
                <w:rFonts w:ascii="Times New Roman" w:hAnsi="Times New Roman"/>
              </w:rPr>
              <w:t>36,239.08</w:t>
            </w:r>
          </w:p>
        </w:tc>
        <w:tc>
          <w:tcPr>
            <w:tcW w:w="1575" w:type="dxa"/>
            <w:shd w:val="clear" w:color="C0C0C0" w:fill="auto"/>
            <w:vAlign w:val="center"/>
          </w:tcPr>
          <w:p w14:paraId="09D78834">
            <w:pPr>
              <w:shd w:val="solid" w:color="FFFFFF" w:fill="auto"/>
              <w:autoSpaceDN w:val="0"/>
              <w:jc w:val="center"/>
              <w:textAlignment w:val="center"/>
              <w:rPr>
                <w:rFonts w:hint="eastAsia" w:ascii="Times New Roman" w:hAnsi="Times New Roman" w:cs="Times New Roman"/>
              </w:rPr>
            </w:pPr>
            <w:r>
              <w:rPr>
                <w:rFonts w:ascii="Times New Roman" w:hAnsi="Times New Roman" w:cs="Times New Roman"/>
              </w:rPr>
              <w:t>2026-06-15</w:t>
            </w:r>
          </w:p>
        </w:tc>
        <w:tc>
          <w:tcPr>
            <w:tcW w:w="1575" w:type="dxa"/>
            <w:shd w:val="clear" w:color="C0C0C0" w:fill="auto"/>
            <w:vAlign w:val="center"/>
          </w:tcPr>
          <w:p w14:paraId="79435D61">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7.79</w:t>
            </w:r>
          </w:p>
        </w:tc>
        <w:tc>
          <w:tcPr>
            <w:tcW w:w="1785" w:type="dxa"/>
            <w:shd w:val="clear" w:color="C0C0C0" w:fill="auto"/>
            <w:vAlign w:val="center"/>
          </w:tcPr>
          <w:p w14:paraId="263D29B2">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4</w:t>
            </w:r>
            <w:r>
              <w:rPr>
                <w:rFonts w:ascii="Times New Roman" w:hAnsi="Times New Roman" w:cs="Times New Roman"/>
              </w:rPr>
              <w:t>,</w:t>
            </w:r>
            <w:r>
              <w:rPr>
                <w:rFonts w:hint="eastAsia" w:ascii="Times New Roman" w:hAnsi="Times New Roman" w:cs="Times New Roman"/>
              </w:rPr>
              <w:t>652</w:t>
            </w:r>
          </w:p>
        </w:tc>
      </w:tr>
      <w:tr w14:paraId="675CF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vAlign w:val="center"/>
          </w:tcPr>
          <w:p w14:paraId="329CE3CD">
            <w:pPr>
              <w:shd w:val="solid" w:color="FFFFFF" w:fill="auto"/>
              <w:autoSpaceDN w:val="0"/>
              <w:jc w:val="center"/>
              <w:textAlignment w:val="center"/>
              <w:rPr>
                <w:rFonts w:ascii="Times New Roman" w:hAnsi="Times New Roman"/>
              </w:rPr>
            </w:pPr>
            <w:r>
              <w:rPr>
                <w:rFonts w:ascii="Times New Roman" w:hAnsi="Times New Roman"/>
              </w:rPr>
              <w:t>920083</w:t>
            </w:r>
          </w:p>
        </w:tc>
        <w:tc>
          <w:tcPr>
            <w:tcW w:w="1394" w:type="dxa"/>
            <w:shd w:val="clear" w:color="C0C0C0" w:fill="auto"/>
            <w:vAlign w:val="center"/>
          </w:tcPr>
          <w:p w14:paraId="4E388096">
            <w:pPr>
              <w:shd w:val="solid" w:color="FFFFFF" w:fill="auto"/>
              <w:autoSpaceDN w:val="0"/>
              <w:jc w:val="center"/>
              <w:textAlignment w:val="center"/>
              <w:rPr>
                <w:rFonts w:ascii="Times New Roman" w:hAnsi="Times New Roman"/>
                <w:lang w:eastAsia="zh-Hans"/>
              </w:rPr>
            </w:pPr>
            <w:r>
              <w:rPr>
                <w:rFonts w:ascii="Times New Roman" w:hAnsi="Times New Roman"/>
                <w:lang w:eastAsia="zh-Hans"/>
              </w:rPr>
              <w:t>金戈新材</w:t>
            </w:r>
          </w:p>
        </w:tc>
        <w:tc>
          <w:tcPr>
            <w:tcW w:w="1721" w:type="dxa"/>
            <w:shd w:val="clear" w:color="C0C0C0" w:fill="auto"/>
            <w:vAlign w:val="center"/>
          </w:tcPr>
          <w:p w14:paraId="68D0B238">
            <w:pPr>
              <w:shd w:val="solid" w:color="FFFFFF" w:fill="auto"/>
              <w:autoSpaceDN w:val="0"/>
              <w:jc w:val="right"/>
              <w:textAlignment w:val="center"/>
              <w:rPr>
                <w:rFonts w:ascii="Times New Roman" w:hAnsi="Times New Roman"/>
              </w:rPr>
            </w:pPr>
            <w:r>
              <w:rPr>
                <w:rFonts w:ascii="Times New Roman" w:hAnsi="Times New Roman"/>
              </w:rPr>
              <w:t>21,538.80</w:t>
            </w:r>
          </w:p>
        </w:tc>
        <w:tc>
          <w:tcPr>
            <w:tcW w:w="1575" w:type="dxa"/>
            <w:shd w:val="clear" w:color="C0C0C0" w:fill="auto"/>
            <w:vAlign w:val="center"/>
          </w:tcPr>
          <w:p w14:paraId="47E2D749">
            <w:pPr>
              <w:shd w:val="solid" w:color="FFFFFF" w:fill="auto"/>
              <w:autoSpaceDN w:val="0"/>
              <w:jc w:val="center"/>
              <w:textAlignment w:val="center"/>
              <w:rPr>
                <w:rFonts w:hint="eastAsia" w:ascii="Times New Roman" w:hAnsi="Times New Roman" w:cs="Times New Roman"/>
              </w:rPr>
            </w:pPr>
            <w:r>
              <w:rPr>
                <w:rFonts w:ascii="Times New Roman" w:hAnsi="Times New Roman" w:cs="Times New Roman"/>
              </w:rPr>
              <w:t>2026-06-11</w:t>
            </w:r>
          </w:p>
        </w:tc>
        <w:tc>
          <w:tcPr>
            <w:tcW w:w="1575" w:type="dxa"/>
            <w:shd w:val="clear" w:color="C0C0C0" w:fill="auto"/>
            <w:vAlign w:val="center"/>
          </w:tcPr>
          <w:p w14:paraId="7DA1A544">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9.65</w:t>
            </w:r>
          </w:p>
        </w:tc>
        <w:tc>
          <w:tcPr>
            <w:tcW w:w="1785" w:type="dxa"/>
            <w:shd w:val="clear" w:color="C0C0C0" w:fill="auto"/>
            <w:vAlign w:val="center"/>
          </w:tcPr>
          <w:p w14:paraId="3ABBE6ED">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2</w:t>
            </w:r>
            <w:r>
              <w:rPr>
                <w:rFonts w:ascii="Times New Roman" w:hAnsi="Times New Roman" w:cs="Times New Roman"/>
              </w:rPr>
              <w:t>,</w:t>
            </w:r>
            <w:r>
              <w:rPr>
                <w:rFonts w:hint="eastAsia" w:ascii="Times New Roman" w:hAnsi="Times New Roman" w:cs="Times New Roman"/>
              </w:rPr>
              <w:t>232</w:t>
            </w:r>
          </w:p>
        </w:tc>
      </w:tr>
      <w:tr w14:paraId="1767A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vAlign w:val="center"/>
          </w:tcPr>
          <w:p w14:paraId="0559D415">
            <w:pPr>
              <w:shd w:val="solid" w:color="FFFFFF" w:fill="auto"/>
              <w:autoSpaceDN w:val="0"/>
              <w:jc w:val="center"/>
              <w:textAlignment w:val="center"/>
              <w:rPr>
                <w:rFonts w:ascii="Times New Roman" w:hAnsi="Times New Roman"/>
              </w:rPr>
            </w:pPr>
            <w:r>
              <w:rPr>
                <w:rFonts w:ascii="Times New Roman" w:hAnsi="Times New Roman"/>
              </w:rPr>
              <w:t>920206</w:t>
            </w:r>
          </w:p>
        </w:tc>
        <w:tc>
          <w:tcPr>
            <w:tcW w:w="1394" w:type="dxa"/>
            <w:shd w:val="clear" w:color="C0C0C0" w:fill="auto"/>
            <w:vAlign w:val="center"/>
          </w:tcPr>
          <w:p w14:paraId="15FECE23">
            <w:pPr>
              <w:shd w:val="solid" w:color="FFFFFF" w:fill="auto"/>
              <w:autoSpaceDN w:val="0"/>
              <w:jc w:val="center"/>
              <w:textAlignment w:val="center"/>
              <w:rPr>
                <w:rFonts w:ascii="Times New Roman" w:hAnsi="Times New Roman"/>
                <w:lang w:eastAsia="zh-Hans"/>
              </w:rPr>
            </w:pPr>
            <w:r>
              <w:rPr>
                <w:rFonts w:ascii="Times New Roman" w:hAnsi="Times New Roman"/>
                <w:lang w:eastAsia="zh-Hans"/>
              </w:rPr>
              <w:t>彩客科技</w:t>
            </w:r>
          </w:p>
        </w:tc>
        <w:tc>
          <w:tcPr>
            <w:tcW w:w="1721" w:type="dxa"/>
            <w:shd w:val="clear" w:color="C0C0C0" w:fill="auto"/>
            <w:vAlign w:val="center"/>
          </w:tcPr>
          <w:p w14:paraId="0A94C47E">
            <w:pPr>
              <w:shd w:val="solid" w:color="FFFFFF" w:fill="auto"/>
              <w:autoSpaceDN w:val="0"/>
              <w:jc w:val="right"/>
              <w:textAlignment w:val="center"/>
              <w:rPr>
                <w:rFonts w:ascii="Times New Roman" w:hAnsi="Times New Roman"/>
              </w:rPr>
            </w:pPr>
            <w:r>
              <w:rPr>
                <w:rFonts w:ascii="Times New Roman" w:hAnsi="Times New Roman"/>
              </w:rPr>
              <w:t>24,133.16</w:t>
            </w:r>
          </w:p>
        </w:tc>
        <w:tc>
          <w:tcPr>
            <w:tcW w:w="1575" w:type="dxa"/>
            <w:shd w:val="clear" w:color="C0C0C0" w:fill="auto"/>
            <w:vAlign w:val="center"/>
          </w:tcPr>
          <w:p w14:paraId="4DD09C2F">
            <w:pPr>
              <w:shd w:val="solid" w:color="FFFFFF" w:fill="auto"/>
              <w:autoSpaceDN w:val="0"/>
              <w:jc w:val="center"/>
              <w:textAlignment w:val="center"/>
              <w:rPr>
                <w:rFonts w:hint="eastAsia" w:ascii="Times New Roman" w:hAnsi="Times New Roman" w:cs="Times New Roman"/>
              </w:rPr>
            </w:pPr>
            <w:r>
              <w:rPr>
                <w:rFonts w:ascii="Times New Roman" w:hAnsi="Times New Roman" w:cs="Times New Roman"/>
              </w:rPr>
              <w:t>2026-06-08</w:t>
            </w:r>
          </w:p>
        </w:tc>
        <w:tc>
          <w:tcPr>
            <w:tcW w:w="1575" w:type="dxa"/>
            <w:shd w:val="clear" w:color="C0C0C0" w:fill="auto"/>
            <w:vAlign w:val="center"/>
          </w:tcPr>
          <w:p w14:paraId="3638F365">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30.28</w:t>
            </w:r>
          </w:p>
        </w:tc>
        <w:tc>
          <w:tcPr>
            <w:tcW w:w="1785" w:type="dxa"/>
            <w:shd w:val="clear" w:color="C0C0C0" w:fill="auto"/>
            <w:vAlign w:val="center"/>
          </w:tcPr>
          <w:p w14:paraId="15CA36DA">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797</w:t>
            </w:r>
          </w:p>
        </w:tc>
      </w:tr>
      <w:tr w14:paraId="5D8DB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vAlign w:val="center"/>
          </w:tcPr>
          <w:p w14:paraId="397227F2">
            <w:pPr>
              <w:shd w:val="solid" w:color="FFFFFF" w:fill="auto"/>
              <w:autoSpaceDN w:val="0"/>
              <w:jc w:val="center"/>
              <w:textAlignment w:val="center"/>
              <w:rPr>
                <w:rFonts w:ascii="Times New Roman" w:hAnsi="Times New Roman"/>
              </w:rPr>
            </w:pPr>
            <w:r>
              <w:rPr>
                <w:rFonts w:ascii="Times New Roman" w:hAnsi="Times New Roman"/>
              </w:rPr>
              <w:t>920211</w:t>
            </w:r>
          </w:p>
        </w:tc>
        <w:tc>
          <w:tcPr>
            <w:tcW w:w="1394" w:type="dxa"/>
            <w:shd w:val="clear" w:color="C0C0C0" w:fill="auto"/>
            <w:vAlign w:val="center"/>
          </w:tcPr>
          <w:p w14:paraId="30EDC82B">
            <w:pPr>
              <w:shd w:val="solid" w:color="FFFFFF" w:fill="auto"/>
              <w:autoSpaceDN w:val="0"/>
              <w:jc w:val="center"/>
              <w:textAlignment w:val="center"/>
              <w:rPr>
                <w:rFonts w:ascii="Times New Roman" w:hAnsi="Times New Roman"/>
                <w:lang w:eastAsia="zh-Hans"/>
              </w:rPr>
            </w:pPr>
            <w:r>
              <w:rPr>
                <w:rFonts w:ascii="Times New Roman" w:hAnsi="Times New Roman"/>
                <w:lang w:eastAsia="zh-Hans"/>
              </w:rPr>
              <w:t>新睿电子</w:t>
            </w:r>
          </w:p>
        </w:tc>
        <w:tc>
          <w:tcPr>
            <w:tcW w:w="1721" w:type="dxa"/>
            <w:shd w:val="clear" w:color="C0C0C0" w:fill="auto"/>
            <w:vAlign w:val="center"/>
          </w:tcPr>
          <w:p w14:paraId="5446C3FC">
            <w:pPr>
              <w:shd w:val="solid" w:color="FFFFFF" w:fill="auto"/>
              <w:autoSpaceDN w:val="0"/>
              <w:jc w:val="right"/>
              <w:textAlignment w:val="center"/>
              <w:rPr>
                <w:rFonts w:ascii="Times New Roman" w:hAnsi="Times New Roman"/>
              </w:rPr>
            </w:pPr>
            <w:r>
              <w:rPr>
                <w:rFonts w:ascii="Times New Roman" w:hAnsi="Times New Roman"/>
              </w:rPr>
              <w:t>16,121.60</w:t>
            </w:r>
          </w:p>
        </w:tc>
        <w:tc>
          <w:tcPr>
            <w:tcW w:w="1575" w:type="dxa"/>
            <w:shd w:val="clear" w:color="C0C0C0" w:fill="auto"/>
            <w:vAlign w:val="center"/>
          </w:tcPr>
          <w:p w14:paraId="5E2A6A0C">
            <w:pPr>
              <w:shd w:val="solid" w:color="FFFFFF" w:fill="auto"/>
              <w:autoSpaceDN w:val="0"/>
              <w:jc w:val="center"/>
              <w:textAlignment w:val="center"/>
              <w:rPr>
                <w:rFonts w:hint="eastAsia" w:ascii="Times New Roman" w:hAnsi="Times New Roman" w:cs="Times New Roman"/>
              </w:rPr>
            </w:pPr>
            <w:r>
              <w:rPr>
                <w:rFonts w:ascii="Times New Roman" w:hAnsi="Times New Roman" w:cs="Times New Roman"/>
              </w:rPr>
              <w:t>2026-06-05</w:t>
            </w:r>
          </w:p>
        </w:tc>
        <w:tc>
          <w:tcPr>
            <w:tcW w:w="1575" w:type="dxa"/>
            <w:shd w:val="clear" w:color="C0C0C0" w:fill="auto"/>
            <w:vAlign w:val="center"/>
          </w:tcPr>
          <w:p w14:paraId="68CC6892">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25.19</w:t>
            </w:r>
          </w:p>
        </w:tc>
        <w:tc>
          <w:tcPr>
            <w:tcW w:w="1785" w:type="dxa"/>
            <w:shd w:val="clear" w:color="C0C0C0" w:fill="auto"/>
            <w:vAlign w:val="center"/>
          </w:tcPr>
          <w:p w14:paraId="23884EA4">
            <w:pPr>
              <w:shd w:val="solid" w:color="FFFFFF" w:fill="auto"/>
              <w:autoSpaceDN w:val="0"/>
              <w:jc w:val="right"/>
              <w:textAlignment w:val="center"/>
              <w:rPr>
                <w:rFonts w:ascii="Times New Roman" w:hAnsi="Times New Roman" w:cs="Times New Roman"/>
              </w:rPr>
            </w:pPr>
            <w:r>
              <w:rPr>
                <w:rFonts w:hint="eastAsia" w:ascii="Times New Roman" w:hAnsi="Times New Roman" w:cs="Times New Roman"/>
              </w:rPr>
              <w:t>640</w:t>
            </w:r>
          </w:p>
        </w:tc>
      </w:tr>
      <w:tr w14:paraId="2A215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238" w:type="dxa"/>
            <w:shd w:val="clear" w:color="C0C0C0" w:fill="auto"/>
            <w:vAlign w:val="center"/>
          </w:tcPr>
          <w:p w14:paraId="3F602AC1">
            <w:pPr>
              <w:shd w:val="solid" w:color="FFFFFF" w:fill="auto"/>
              <w:autoSpaceDN w:val="0"/>
              <w:jc w:val="center"/>
              <w:textAlignment w:val="center"/>
              <w:rPr>
                <w:rFonts w:ascii="Times New Roman" w:hAnsi="Times New Roman"/>
                <w:b/>
                <w:bCs/>
                <w:lang w:eastAsia="zh-Hans"/>
              </w:rPr>
            </w:pPr>
            <w:r>
              <w:rPr>
                <w:rFonts w:ascii="Times New Roman" w:hAnsi="Times New Roman" w:cs="Times New Roman"/>
                <w:b/>
                <w:bCs/>
                <w:lang w:eastAsia="zh-Hans"/>
              </w:rPr>
              <w:t>总计</w:t>
            </w:r>
          </w:p>
        </w:tc>
        <w:tc>
          <w:tcPr>
            <w:tcW w:w="1394" w:type="dxa"/>
            <w:shd w:val="clear" w:color="C0C0C0" w:fill="auto"/>
            <w:vAlign w:val="center"/>
          </w:tcPr>
          <w:p w14:paraId="29EDE85F">
            <w:pPr>
              <w:shd w:val="solid" w:color="FFFFFF" w:fill="auto"/>
              <w:autoSpaceDN w:val="0"/>
              <w:jc w:val="center"/>
              <w:textAlignment w:val="center"/>
              <w:rPr>
                <w:rFonts w:ascii="Times New Roman" w:hAnsi="Times New Roman"/>
                <w:b/>
                <w:bCs/>
                <w:lang w:eastAsia="zh-Hans"/>
              </w:rPr>
            </w:pPr>
          </w:p>
        </w:tc>
        <w:tc>
          <w:tcPr>
            <w:tcW w:w="1721" w:type="dxa"/>
            <w:shd w:val="clear" w:color="C0C0C0" w:fill="auto"/>
            <w:vAlign w:val="center"/>
          </w:tcPr>
          <w:p w14:paraId="3EF2FE84">
            <w:pPr>
              <w:shd w:val="solid" w:color="FFFFFF" w:fill="auto"/>
              <w:autoSpaceDN w:val="0"/>
              <w:jc w:val="right"/>
              <w:textAlignment w:val="center"/>
              <w:rPr>
                <w:rFonts w:ascii="Times New Roman" w:hAnsi="Times New Roman"/>
                <w:b/>
                <w:bCs/>
                <w:lang w:bidi="ar"/>
              </w:rPr>
            </w:pPr>
            <w:r>
              <w:rPr>
                <w:rFonts w:ascii="Times New Roman" w:hAnsi="Times New Roman"/>
                <w:b/>
                <w:bCs/>
                <w:lang w:bidi="ar"/>
              </w:rPr>
              <w:fldChar w:fldCharType="begin"/>
            </w:r>
            <w:r>
              <w:rPr>
                <w:rFonts w:ascii="Times New Roman" w:hAnsi="Times New Roman"/>
                <w:b/>
                <w:bCs/>
                <w:lang w:bidi="ar"/>
              </w:rPr>
              <w:instrText xml:space="preserve"> =SUM(ABOVE) </w:instrText>
            </w:r>
            <w:r>
              <w:rPr>
                <w:rFonts w:ascii="Times New Roman" w:hAnsi="Times New Roman"/>
                <w:b/>
                <w:bCs/>
                <w:lang w:bidi="ar"/>
              </w:rPr>
              <w:fldChar w:fldCharType="separate"/>
            </w:r>
            <w:r>
              <w:rPr>
                <w:rFonts w:ascii="Times New Roman" w:hAnsi="Times New Roman"/>
                <w:b/>
                <w:bCs/>
                <w:lang w:bidi="ar"/>
              </w:rPr>
              <w:t>134,115.89</w:t>
            </w:r>
            <w:r>
              <w:rPr>
                <w:rFonts w:ascii="Times New Roman" w:hAnsi="Times New Roman"/>
                <w:b/>
                <w:bCs/>
                <w:lang w:bidi="ar"/>
              </w:rPr>
              <w:fldChar w:fldCharType="end"/>
            </w:r>
          </w:p>
        </w:tc>
        <w:tc>
          <w:tcPr>
            <w:tcW w:w="1575" w:type="dxa"/>
            <w:shd w:val="clear" w:color="C0C0C0" w:fill="auto"/>
            <w:vAlign w:val="center"/>
          </w:tcPr>
          <w:p w14:paraId="775F6866">
            <w:pPr>
              <w:shd w:val="solid" w:color="FFFFFF" w:fill="auto"/>
              <w:autoSpaceDN w:val="0"/>
              <w:jc w:val="center"/>
              <w:textAlignment w:val="center"/>
              <w:rPr>
                <w:rFonts w:ascii="Times New Roman" w:hAnsi="Times New Roman"/>
                <w:b/>
                <w:bCs/>
              </w:rPr>
            </w:pPr>
          </w:p>
        </w:tc>
        <w:tc>
          <w:tcPr>
            <w:tcW w:w="1575" w:type="dxa"/>
            <w:shd w:val="clear" w:color="C0C0C0" w:fill="auto"/>
            <w:vAlign w:val="center"/>
          </w:tcPr>
          <w:p w14:paraId="4AFBC309">
            <w:pPr>
              <w:shd w:val="solid" w:color="FFFFFF" w:fill="auto"/>
              <w:autoSpaceDN w:val="0"/>
              <w:jc w:val="center"/>
              <w:textAlignment w:val="center"/>
              <w:rPr>
                <w:rFonts w:ascii="Times New Roman" w:hAnsi="Times New Roman"/>
                <w:b/>
                <w:bCs/>
              </w:rPr>
            </w:pPr>
          </w:p>
        </w:tc>
        <w:tc>
          <w:tcPr>
            <w:tcW w:w="1785" w:type="dxa"/>
            <w:shd w:val="clear" w:color="C0C0C0" w:fill="auto"/>
            <w:vAlign w:val="center"/>
          </w:tcPr>
          <w:p w14:paraId="2A3EF29D">
            <w:pPr>
              <w:shd w:val="solid" w:color="FFFFFF" w:fill="auto"/>
              <w:autoSpaceDN w:val="0"/>
              <w:jc w:val="right"/>
              <w:textAlignment w:val="center"/>
              <w:rPr>
                <w:rFonts w:ascii="Times New Roman" w:hAnsi="Times New Roman"/>
                <w:b/>
                <w:bCs/>
              </w:rPr>
            </w:pPr>
            <w:r>
              <w:rPr>
                <w:rFonts w:ascii="Times New Roman" w:hAnsi="Times New Roman"/>
                <w:b/>
                <w:bCs/>
              </w:rPr>
              <w:fldChar w:fldCharType="begin"/>
            </w:r>
            <w:r>
              <w:rPr>
                <w:rFonts w:ascii="Times New Roman" w:hAnsi="Times New Roman"/>
                <w:b/>
                <w:bCs/>
              </w:rPr>
              <w:instrText xml:space="preserve"> =SUM(ABOVE) </w:instrText>
            </w:r>
            <w:r>
              <w:rPr>
                <w:rFonts w:ascii="Times New Roman" w:hAnsi="Times New Roman"/>
                <w:b/>
                <w:bCs/>
              </w:rPr>
              <w:fldChar w:fldCharType="separate"/>
            </w:r>
            <w:r>
              <w:rPr>
                <w:rFonts w:ascii="Times New Roman" w:hAnsi="Times New Roman"/>
                <w:b/>
                <w:bCs/>
              </w:rPr>
              <w:t>11,086</w:t>
            </w:r>
            <w:r>
              <w:rPr>
                <w:rFonts w:ascii="Times New Roman" w:hAnsi="Times New Roman"/>
                <w:b/>
                <w:bCs/>
              </w:rPr>
              <w:fldChar w:fldCharType="end"/>
            </w:r>
          </w:p>
        </w:tc>
      </w:tr>
    </w:tbl>
    <w:p w14:paraId="2397586E">
      <w:pPr>
        <w:tabs>
          <w:tab w:val="left" w:pos="7560"/>
          <w:tab w:val="left" w:pos="8100"/>
        </w:tabs>
        <w:spacing w:line="360" w:lineRule="auto"/>
        <w:contextualSpacing/>
        <w:jc w:val="right"/>
        <w:rPr>
          <w:rFonts w:ascii="Times New Roman" w:hAnsi="Times New Roman"/>
        </w:rPr>
      </w:pPr>
      <w:r>
        <w:rPr>
          <w:rFonts w:ascii="Times New Roman" w:hAnsi="Times New Roman" w:cs="Times New Roman"/>
        </w:rPr>
        <w:t>上述信息来源：上交所网站 深交所网站</w:t>
      </w:r>
      <w:r>
        <w:rPr>
          <w:rFonts w:hint="eastAsia" w:ascii="Times New Roman" w:hAnsi="Times New Roman" w:cs="Times New Roman"/>
        </w:rPr>
        <w:t xml:space="preserve"> </w:t>
      </w:r>
      <w:r>
        <w:rPr>
          <w:rFonts w:hint="eastAsia" w:ascii="Times New Roman" w:hAnsi="Times New Roman" w:cs="Times New Roman"/>
          <w:lang w:eastAsia="zh-Hans"/>
        </w:rPr>
        <w:t>北</w:t>
      </w:r>
      <w:r>
        <w:rPr>
          <w:rFonts w:ascii="Times New Roman" w:hAnsi="Times New Roman" w:cs="Times New Roman"/>
        </w:rPr>
        <w:t>交所网站</w:t>
      </w:r>
    </w:p>
    <w:p w14:paraId="539D005A">
      <w:pPr>
        <w:numPr>
          <w:ilvl w:val="0"/>
          <w:numId w:val="3"/>
        </w:numPr>
        <w:tabs>
          <w:tab w:val="left" w:pos="0"/>
          <w:tab w:val="left" w:pos="840"/>
        </w:tabs>
        <w:spacing w:before="156" w:beforeLines="50" w:after="156" w:afterLines="50" w:line="360" w:lineRule="auto"/>
        <w:rPr>
          <w:rFonts w:ascii="Times New Roman" w:hAnsi="Times New Roman"/>
        </w:rPr>
      </w:pPr>
      <w:bookmarkStart w:id="1" w:name="OLE_LINK5"/>
      <w:r>
        <w:rPr>
          <w:rFonts w:ascii="Times New Roman" w:hAnsi="Times New Roman" w:cs="Times New Roman"/>
          <w:color w:val="000000"/>
        </w:rPr>
        <w:t>全国中小企业股份转让系统公司</w:t>
      </w:r>
      <w:bookmarkEnd w:id="1"/>
      <w:r>
        <w:rPr>
          <w:rFonts w:ascii="Times New Roman" w:hAnsi="Times New Roman" w:cs="Times New Roman"/>
          <w:color w:val="000000"/>
        </w:rPr>
        <w:t>挂牌情况</w:t>
      </w:r>
    </w:p>
    <w:p w14:paraId="4CB275BB">
      <w:pPr>
        <w:spacing w:after="156" w:afterLines="50" w:line="360" w:lineRule="auto"/>
        <w:ind w:firstLine="480" w:firstLineChars="200"/>
        <w:jc w:val="both"/>
        <w:rPr>
          <w:rFonts w:ascii="Times New Roman" w:hAnsi="Times New Roman"/>
        </w:rPr>
      </w:pPr>
      <w:r>
        <w:rPr>
          <w:rFonts w:ascii="Times New Roman" w:hAnsi="Times New Roman" w:cs="Times New Roman"/>
          <w:color w:val="000000"/>
          <w:szCs w:val="27"/>
        </w:rPr>
        <w:t>自2026年6月1日至2026年6月30日，全国中小企业股份转让系统新增挂牌公司</w:t>
      </w:r>
      <w:r>
        <w:rPr>
          <w:rFonts w:hint="eastAsia" w:ascii="Times New Roman" w:hAnsi="Times New Roman" w:cs="Times New Roman"/>
          <w:color w:val="000000"/>
          <w:szCs w:val="27"/>
        </w:rPr>
        <w:t>-18</w:t>
      </w:r>
      <w:r>
        <w:rPr>
          <w:rFonts w:ascii="Times New Roman" w:hAnsi="Times New Roman" w:cs="Times New Roman"/>
          <w:color w:val="000000"/>
          <w:szCs w:val="27"/>
        </w:rPr>
        <w:t>家，截</w:t>
      </w:r>
      <w:r>
        <w:rPr>
          <w:rFonts w:hint="eastAsia" w:ascii="Times New Roman" w:hAnsi="Times New Roman" w:cs="Times New Roman"/>
          <w:color w:val="000000"/>
          <w:szCs w:val="27"/>
        </w:rPr>
        <w:t>至</w:t>
      </w:r>
      <w:r>
        <w:rPr>
          <w:rFonts w:hint="eastAsia" w:ascii="Times New Roman" w:hAnsi="Times New Roman" w:cs="Times New Roman"/>
        </w:rPr>
        <w:t>20</w:t>
      </w:r>
      <w:r>
        <w:rPr>
          <w:rFonts w:ascii="Times New Roman" w:hAnsi="Times New Roman" w:cs="Times New Roman"/>
        </w:rPr>
        <w:t>2</w:t>
      </w:r>
      <w:r>
        <w:rPr>
          <w:rFonts w:hint="eastAsia" w:ascii="Times New Roman" w:hAnsi="Times New Roman" w:cs="Times New Roman"/>
        </w:rPr>
        <w:t>6年6</w:t>
      </w:r>
      <w:r>
        <w:rPr>
          <w:rFonts w:ascii="Times New Roman" w:hAnsi="Times New Roman" w:cs="Times New Roman"/>
        </w:rPr>
        <w:t>月</w:t>
      </w:r>
      <w:r>
        <w:rPr>
          <w:rFonts w:hint="eastAsia" w:ascii="Times New Roman" w:hAnsi="Times New Roman" w:cs="Times New Roman"/>
        </w:rPr>
        <w:t>30</w:t>
      </w:r>
      <w:r>
        <w:rPr>
          <w:rFonts w:ascii="Times New Roman" w:hAnsi="Times New Roman" w:cs="Times New Roman"/>
        </w:rPr>
        <w:t>日</w:t>
      </w:r>
      <w:r>
        <w:rPr>
          <w:rFonts w:ascii="Times New Roman" w:hAnsi="Times New Roman" w:cs="Times New Roman"/>
          <w:color w:val="000000"/>
          <w:szCs w:val="27"/>
        </w:rPr>
        <w:t>，全国中小企业股份转让系统挂牌公司共计</w:t>
      </w:r>
      <w:r>
        <w:rPr>
          <w:rFonts w:hint="eastAsia" w:ascii="Times New Roman" w:hAnsi="Times New Roman" w:cs="Times New Roman"/>
          <w:color w:val="000000"/>
          <w:szCs w:val="27"/>
        </w:rPr>
        <w:t>5</w:t>
      </w:r>
      <w:r>
        <w:rPr>
          <w:rFonts w:ascii="Times New Roman" w:hAnsi="Times New Roman" w:cs="Times New Roman"/>
          <w:color w:val="000000"/>
          <w:szCs w:val="27"/>
        </w:rPr>
        <w:t>,</w:t>
      </w:r>
      <w:r>
        <w:rPr>
          <w:rFonts w:hint="eastAsia" w:ascii="Times New Roman" w:hAnsi="Times New Roman" w:cs="Times New Roman"/>
          <w:color w:val="000000"/>
          <w:szCs w:val="27"/>
        </w:rPr>
        <w:t>863</w:t>
      </w:r>
      <w:r>
        <w:rPr>
          <w:rFonts w:ascii="Times New Roman" w:hAnsi="Times New Roman" w:cs="Times New Roman"/>
          <w:color w:val="000000"/>
          <w:szCs w:val="27"/>
        </w:rPr>
        <w:t>家，其中，</w:t>
      </w:r>
      <w:r>
        <w:rPr>
          <w:rFonts w:hint="eastAsia" w:ascii="Times New Roman" w:hAnsi="Times New Roman" w:cs="Times New Roman"/>
          <w:color w:val="000000"/>
          <w:szCs w:val="27"/>
          <w:lang w:eastAsia="zh-Hans"/>
        </w:rPr>
        <w:t>创新层2</w:t>
      </w:r>
      <w:r>
        <w:rPr>
          <w:rFonts w:hint="eastAsia" w:ascii="Times New Roman" w:hAnsi="Times New Roman" w:cs="Times New Roman"/>
          <w:color w:val="000000"/>
          <w:szCs w:val="27"/>
        </w:rPr>
        <w:t>,315</w:t>
      </w:r>
      <w:r>
        <w:rPr>
          <w:rFonts w:hint="eastAsia" w:ascii="Times New Roman" w:hAnsi="Times New Roman" w:cs="Times New Roman"/>
          <w:color w:val="000000"/>
          <w:szCs w:val="27"/>
          <w:lang w:eastAsia="zh-Hans"/>
        </w:rPr>
        <w:t>家（集合竞价</w:t>
      </w:r>
      <w:r>
        <w:rPr>
          <w:rFonts w:hint="eastAsia" w:ascii="Times New Roman" w:hAnsi="Times New Roman" w:cs="Times New Roman"/>
          <w:color w:val="000000"/>
          <w:szCs w:val="27"/>
        </w:rPr>
        <w:t>2,194</w:t>
      </w:r>
      <w:r>
        <w:rPr>
          <w:rFonts w:hint="eastAsia" w:ascii="Times New Roman" w:hAnsi="Times New Roman" w:cs="Times New Roman"/>
          <w:color w:val="000000"/>
          <w:szCs w:val="27"/>
          <w:lang w:eastAsia="zh-Hans"/>
        </w:rPr>
        <w:t>家，做市</w:t>
      </w:r>
      <w:r>
        <w:rPr>
          <w:rFonts w:hint="eastAsia" w:ascii="Times New Roman" w:hAnsi="Times New Roman" w:cs="Times New Roman"/>
          <w:color w:val="000000"/>
          <w:szCs w:val="27"/>
        </w:rPr>
        <w:t>121</w:t>
      </w:r>
      <w:r>
        <w:rPr>
          <w:rFonts w:hint="eastAsia" w:ascii="Times New Roman" w:hAnsi="Times New Roman" w:cs="Times New Roman"/>
          <w:color w:val="000000"/>
          <w:szCs w:val="27"/>
          <w:lang w:eastAsia="zh-Hans"/>
        </w:rPr>
        <w:t>家），基础层3</w:t>
      </w:r>
      <w:r>
        <w:rPr>
          <w:rFonts w:hint="eastAsia" w:ascii="Times New Roman" w:hAnsi="Times New Roman" w:cs="Times New Roman"/>
          <w:color w:val="000000"/>
          <w:szCs w:val="27"/>
        </w:rPr>
        <w:t>,548</w:t>
      </w:r>
      <w:r>
        <w:rPr>
          <w:rFonts w:hint="eastAsia" w:ascii="Times New Roman" w:hAnsi="Times New Roman" w:cs="Times New Roman"/>
          <w:color w:val="000000"/>
          <w:szCs w:val="27"/>
          <w:lang w:eastAsia="zh-Hans"/>
        </w:rPr>
        <w:t>家（集合竞价</w:t>
      </w:r>
      <w:r>
        <w:rPr>
          <w:rFonts w:hint="eastAsia" w:ascii="Times New Roman" w:hAnsi="Times New Roman" w:cs="Times New Roman"/>
          <w:color w:val="000000"/>
          <w:szCs w:val="27"/>
        </w:rPr>
        <w:t>3,488</w:t>
      </w:r>
      <w:r>
        <w:rPr>
          <w:rFonts w:hint="eastAsia" w:ascii="Times New Roman" w:hAnsi="Times New Roman" w:cs="Times New Roman"/>
          <w:color w:val="000000"/>
          <w:szCs w:val="27"/>
          <w:lang w:eastAsia="zh-Hans"/>
        </w:rPr>
        <w:t>家，做市</w:t>
      </w:r>
      <w:r>
        <w:rPr>
          <w:rFonts w:hint="eastAsia" w:ascii="Times New Roman" w:hAnsi="Times New Roman" w:cs="Times New Roman"/>
          <w:color w:val="000000"/>
          <w:szCs w:val="27"/>
        </w:rPr>
        <w:t>60</w:t>
      </w:r>
      <w:r>
        <w:rPr>
          <w:rFonts w:hint="eastAsia" w:ascii="Times New Roman" w:hAnsi="Times New Roman" w:cs="Times New Roman"/>
          <w:color w:val="000000"/>
          <w:szCs w:val="27"/>
          <w:lang w:eastAsia="zh-Hans"/>
        </w:rPr>
        <w:t>家）</w:t>
      </w:r>
      <w:r>
        <w:rPr>
          <w:rFonts w:ascii="Times New Roman" w:hAnsi="Times New Roman" w:cs="Times New Roman"/>
          <w:color w:val="000000"/>
          <w:szCs w:val="27"/>
        </w:rPr>
        <w:t>。</w:t>
      </w:r>
    </w:p>
    <w:p w14:paraId="1A5373B9">
      <w:pPr>
        <w:numPr>
          <w:ilvl w:val="0"/>
          <w:numId w:val="3"/>
        </w:numPr>
        <w:tabs>
          <w:tab w:val="left" w:pos="0"/>
          <w:tab w:val="left" w:pos="840"/>
        </w:tabs>
        <w:spacing w:before="156" w:beforeLines="50" w:after="156" w:afterLines="50" w:line="360" w:lineRule="auto"/>
        <w:rPr>
          <w:rFonts w:ascii="Times New Roman" w:hAnsi="Times New Roman"/>
        </w:rPr>
      </w:pPr>
      <w:r>
        <w:rPr>
          <w:rFonts w:ascii="Times New Roman" w:hAnsi="Times New Roman" w:cs="Times New Roman"/>
          <w:color w:val="000000"/>
        </w:rPr>
        <w:t>债券发行统计</w:t>
      </w:r>
    </w:p>
    <w:p w14:paraId="3FE1D792">
      <w:pPr>
        <w:tabs>
          <w:tab w:val="left" w:pos="0"/>
          <w:tab w:val="left" w:pos="840"/>
        </w:tabs>
        <w:snapToGrid w:val="0"/>
        <w:spacing w:after="156" w:afterLines="50" w:line="360" w:lineRule="auto"/>
        <w:ind w:firstLine="480" w:firstLineChars="200"/>
        <w:jc w:val="both"/>
        <w:rPr>
          <w:rFonts w:ascii="Times New Roman" w:hAnsi="Times New Roman"/>
        </w:rPr>
      </w:pPr>
      <w:r>
        <w:rPr>
          <w:rFonts w:hint="eastAsia" w:ascii="Times New Roman" w:hAnsi="Times New Roman" w:cs="Times New Roman"/>
          <w:color w:val="000000"/>
        </w:rPr>
        <w:t>因上期资本市场信息未披露</w:t>
      </w:r>
      <w:r>
        <w:rPr>
          <w:rFonts w:hint="eastAsia" w:ascii="Times New Roman" w:hAnsi="Times New Roman" w:cs="Times New Roman"/>
        </w:rPr>
        <w:t>2026年5月</w:t>
      </w:r>
      <w:r>
        <w:rPr>
          <w:rFonts w:hint="eastAsia" w:ascii="Times New Roman" w:hAnsi="Times New Roman" w:cs="Times New Roman"/>
          <w:color w:val="000000"/>
        </w:rPr>
        <w:t>的债券发行统计信息，且中国债券信息网暂未公布2026年6月的债券发行统计信息，本期资本市场信息补充披露2026年5月债券发行统计数据如下</w:t>
      </w:r>
      <w:r>
        <w:rPr>
          <w:rFonts w:ascii="Times New Roman" w:hAnsi="Times New Roman" w:cs="Times New Roman"/>
          <w:color w:val="000000"/>
        </w:rPr>
        <w:t>：</w:t>
      </w:r>
    </w:p>
    <w:p w14:paraId="1F2366BD">
      <w:pPr>
        <w:tabs>
          <w:tab w:val="left" w:pos="0"/>
          <w:tab w:val="left" w:pos="840"/>
        </w:tabs>
        <w:snapToGrid w:val="0"/>
        <w:ind w:firstLine="480" w:firstLineChars="200"/>
        <w:jc w:val="right"/>
        <w:rPr>
          <w:rFonts w:ascii="Times New Roman" w:hAnsi="Times New Roman"/>
        </w:rPr>
      </w:pPr>
      <w:r>
        <w:rPr>
          <w:rFonts w:ascii="Times New Roman" w:hAnsi="Times New Roman" w:cs="Times New Roman"/>
          <w:color w:val="000000"/>
        </w:rPr>
        <w:t>单位：亿元</w:t>
      </w:r>
    </w:p>
    <w:tbl>
      <w:tblPr>
        <w:tblStyle w:val="8"/>
        <w:tblW w:w="90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4"/>
        <w:gridCol w:w="3118"/>
        <w:gridCol w:w="3260"/>
      </w:tblGrid>
      <w:tr w14:paraId="3EFE9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blHeader/>
          <w:jc w:val="center"/>
        </w:trPr>
        <w:tc>
          <w:tcPr>
            <w:tcW w:w="2684" w:type="dxa"/>
            <w:shd w:val="clear" w:color="000000" w:fill="C0C0C0"/>
            <w:noWrap/>
            <w:vAlign w:val="center"/>
          </w:tcPr>
          <w:p w14:paraId="27D52419">
            <w:pPr>
              <w:rPr>
                <w:rFonts w:ascii="Times New Roman" w:hAnsi="Times New Roman"/>
                <w:b/>
                <w:bCs/>
              </w:rPr>
            </w:pPr>
          </w:p>
        </w:tc>
        <w:tc>
          <w:tcPr>
            <w:tcW w:w="3118" w:type="dxa"/>
            <w:shd w:val="clear" w:color="000000" w:fill="C0C0C0"/>
            <w:noWrap/>
            <w:vAlign w:val="center"/>
          </w:tcPr>
          <w:p w14:paraId="6C5F4A58">
            <w:pPr>
              <w:jc w:val="center"/>
              <w:rPr>
                <w:rFonts w:ascii="Times New Roman" w:hAnsi="Times New Roman"/>
                <w:b/>
                <w:bCs/>
              </w:rPr>
            </w:pPr>
            <w:r>
              <w:rPr>
                <w:rFonts w:ascii="Times New Roman" w:hAnsi="Times New Roman" w:cs="Times New Roman"/>
                <w:b/>
                <w:bCs/>
                <w:color w:val="000000"/>
              </w:rPr>
              <w:t>本月</w:t>
            </w:r>
            <w:r>
              <w:rPr>
                <w:rFonts w:hint="eastAsia" w:ascii="Times New Roman" w:hAnsi="Times New Roman" w:cs="Times New Roman"/>
                <w:b/>
                <w:bCs/>
                <w:color w:val="000000"/>
              </w:rPr>
              <w:t>（2026年5月）</w:t>
            </w:r>
          </w:p>
        </w:tc>
        <w:tc>
          <w:tcPr>
            <w:tcW w:w="3260" w:type="dxa"/>
            <w:shd w:val="clear" w:color="000000" w:fill="C0C0C0"/>
            <w:noWrap/>
            <w:vAlign w:val="center"/>
          </w:tcPr>
          <w:p w14:paraId="1F38084F">
            <w:pPr>
              <w:jc w:val="center"/>
              <w:rPr>
                <w:rFonts w:ascii="Times New Roman" w:hAnsi="Times New Roman"/>
                <w:b/>
                <w:bCs/>
              </w:rPr>
            </w:pPr>
            <w:r>
              <w:rPr>
                <w:rFonts w:hint="eastAsia" w:ascii="Times New Roman" w:hAnsi="Times New Roman" w:cs="Times New Roman"/>
                <w:b/>
                <w:bCs/>
                <w:color w:val="000000"/>
              </w:rPr>
              <w:t>本年</w:t>
            </w:r>
            <w:r>
              <w:rPr>
                <w:rFonts w:ascii="Times New Roman" w:hAnsi="Times New Roman" w:cs="Times New Roman"/>
                <w:b/>
                <w:bCs/>
                <w:color w:val="000000"/>
              </w:rPr>
              <w:t>累计</w:t>
            </w:r>
          </w:p>
        </w:tc>
      </w:tr>
      <w:tr w14:paraId="2238A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0EF7F997">
            <w:pPr>
              <w:rPr>
                <w:rFonts w:ascii="Times New Roman" w:hAnsi="Times New Roman"/>
                <w:b/>
                <w:bCs/>
              </w:rPr>
            </w:pPr>
            <w:r>
              <w:rPr>
                <w:rFonts w:ascii="Times New Roman" w:hAnsi="Times New Roman" w:cs="Times New Roman"/>
                <w:b/>
                <w:bCs/>
                <w:color w:val="000000"/>
              </w:rPr>
              <w:t>国债</w:t>
            </w:r>
          </w:p>
        </w:tc>
        <w:tc>
          <w:tcPr>
            <w:tcW w:w="3118" w:type="dxa"/>
            <w:noWrap/>
          </w:tcPr>
          <w:p w14:paraId="37BCFAC3">
            <w:pPr>
              <w:shd w:val="solid" w:color="FFFFFF" w:fill="auto"/>
              <w:autoSpaceDN w:val="0"/>
              <w:jc w:val="right"/>
              <w:textAlignment w:val="center"/>
              <w:rPr>
                <w:rFonts w:ascii="Times New Roman" w:hAnsi="Times New Roman"/>
              </w:rPr>
            </w:pPr>
            <w:r>
              <w:rPr>
                <w:rFonts w:ascii="Times New Roman" w:hAnsi="Times New Roman"/>
              </w:rPr>
              <w:t>13,800.20</w:t>
            </w:r>
          </w:p>
        </w:tc>
        <w:tc>
          <w:tcPr>
            <w:tcW w:w="3260" w:type="dxa"/>
            <w:noWrap/>
          </w:tcPr>
          <w:p w14:paraId="24BEE834">
            <w:pPr>
              <w:shd w:val="solid" w:color="FFFFFF" w:fill="auto"/>
              <w:autoSpaceDN w:val="0"/>
              <w:jc w:val="right"/>
              <w:textAlignment w:val="center"/>
              <w:rPr>
                <w:rFonts w:ascii="Times New Roman" w:hAnsi="Times New Roman"/>
              </w:rPr>
            </w:pPr>
            <w:r>
              <w:rPr>
                <w:rFonts w:ascii="Times New Roman" w:hAnsi="Times New Roman"/>
              </w:rPr>
              <w:t>63,485.60</w:t>
            </w:r>
          </w:p>
        </w:tc>
      </w:tr>
      <w:tr w14:paraId="40C14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2684" w:type="dxa"/>
            <w:shd w:val="clear" w:color="000000" w:fill="C0C0C0"/>
            <w:noWrap/>
            <w:vAlign w:val="center"/>
          </w:tcPr>
          <w:p w14:paraId="6115054B">
            <w:pPr>
              <w:rPr>
                <w:rFonts w:ascii="Times New Roman" w:hAnsi="Times New Roman"/>
                <w:b/>
                <w:bCs/>
              </w:rPr>
            </w:pPr>
            <w:r>
              <w:rPr>
                <w:rFonts w:ascii="Times New Roman" w:hAnsi="Times New Roman" w:cs="Times New Roman"/>
                <w:b/>
                <w:bCs/>
                <w:color w:val="000000"/>
              </w:rPr>
              <w:t>地方政府债</w:t>
            </w:r>
          </w:p>
        </w:tc>
        <w:tc>
          <w:tcPr>
            <w:tcW w:w="3118" w:type="dxa"/>
            <w:noWrap/>
          </w:tcPr>
          <w:p w14:paraId="2E5FB60B">
            <w:pPr>
              <w:shd w:val="solid" w:color="FFFFFF" w:fill="auto"/>
              <w:autoSpaceDN w:val="0"/>
              <w:jc w:val="right"/>
              <w:textAlignment w:val="center"/>
              <w:rPr>
                <w:rFonts w:ascii="Times New Roman" w:hAnsi="Times New Roman"/>
              </w:rPr>
            </w:pPr>
            <w:r>
              <w:rPr>
                <w:rFonts w:ascii="Times New Roman" w:hAnsi="Times New Roman"/>
              </w:rPr>
              <w:t>8,047.39</w:t>
            </w:r>
          </w:p>
        </w:tc>
        <w:tc>
          <w:tcPr>
            <w:tcW w:w="3260" w:type="dxa"/>
            <w:noWrap/>
          </w:tcPr>
          <w:p w14:paraId="0F1C2224">
            <w:pPr>
              <w:shd w:val="solid" w:color="FFFFFF" w:fill="auto"/>
              <w:autoSpaceDN w:val="0"/>
              <w:jc w:val="right"/>
              <w:textAlignment w:val="center"/>
              <w:rPr>
                <w:rFonts w:ascii="Times New Roman" w:hAnsi="Times New Roman"/>
              </w:rPr>
            </w:pPr>
            <w:r>
              <w:rPr>
                <w:rFonts w:ascii="Times New Roman" w:hAnsi="Times New Roman"/>
              </w:rPr>
              <w:t>47,218.97</w:t>
            </w:r>
          </w:p>
        </w:tc>
      </w:tr>
      <w:tr w14:paraId="31F72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540FB573">
            <w:pPr>
              <w:rPr>
                <w:rFonts w:ascii="Times New Roman" w:hAnsi="Times New Roman"/>
                <w:b/>
                <w:bCs/>
              </w:rPr>
            </w:pPr>
            <w:r>
              <w:rPr>
                <w:rFonts w:ascii="Times New Roman" w:hAnsi="Times New Roman" w:cs="Times New Roman"/>
                <w:b/>
                <w:bCs/>
                <w:color w:val="000000"/>
              </w:rPr>
              <w:t>央行票据</w:t>
            </w:r>
          </w:p>
        </w:tc>
        <w:tc>
          <w:tcPr>
            <w:tcW w:w="3118" w:type="dxa"/>
            <w:noWrap/>
          </w:tcPr>
          <w:p w14:paraId="413B1A55">
            <w:pPr>
              <w:shd w:val="solid" w:color="FFFFFF" w:fill="auto"/>
              <w:autoSpaceDN w:val="0"/>
              <w:jc w:val="right"/>
              <w:textAlignment w:val="center"/>
              <w:rPr>
                <w:rFonts w:ascii="Times New Roman" w:hAnsi="Times New Roman"/>
              </w:rPr>
            </w:pPr>
            <w:r>
              <w:rPr>
                <w:rFonts w:ascii="Times New Roman" w:hAnsi="Times New Roman"/>
              </w:rPr>
              <w:t>0.00</w:t>
            </w:r>
          </w:p>
        </w:tc>
        <w:tc>
          <w:tcPr>
            <w:tcW w:w="3260" w:type="dxa"/>
            <w:noWrap/>
          </w:tcPr>
          <w:p w14:paraId="473D0457">
            <w:pPr>
              <w:shd w:val="solid" w:color="FFFFFF" w:fill="auto"/>
              <w:autoSpaceDN w:val="0"/>
              <w:jc w:val="right"/>
              <w:textAlignment w:val="center"/>
              <w:rPr>
                <w:rFonts w:ascii="Times New Roman" w:hAnsi="Times New Roman"/>
              </w:rPr>
            </w:pPr>
            <w:r>
              <w:rPr>
                <w:rFonts w:ascii="Times New Roman" w:hAnsi="Times New Roman"/>
              </w:rPr>
              <w:t>0.00</w:t>
            </w:r>
          </w:p>
        </w:tc>
      </w:tr>
      <w:tr w14:paraId="2BC1F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720E657B">
            <w:pPr>
              <w:rPr>
                <w:rFonts w:ascii="Times New Roman" w:hAnsi="Times New Roman"/>
                <w:b/>
                <w:bCs/>
              </w:rPr>
            </w:pPr>
            <w:r>
              <w:rPr>
                <w:rFonts w:ascii="Times New Roman" w:hAnsi="Times New Roman" w:cs="Times New Roman"/>
                <w:b/>
                <w:bCs/>
                <w:color w:val="000000"/>
              </w:rPr>
              <w:t>政策性银行债</w:t>
            </w:r>
          </w:p>
        </w:tc>
        <w:tc>
          <w:tcPr>
            <w:tcW w:w="3118" w:type="dxa"/>
            <w:noWrap/>
          </w:tcPr>
          <w:p w14:paraId="01768867">
            <w:pPr>
              <w:shd w:val="solid" w:color="FFFFFF" w:fill="auto"/>
              <w:autoSpaceDN w:val="0"/>
              <w:jc w:val="right"/>
              <w:textAlignment w:val="center"/>
              <w:rPr>
                <w:rFonts w:ascii="Times New Roman" w:hAnsi="Times New Roman"/>
              </w:rPr>
            </w:pPr>
            <w:r>
              <w:rPr>
                <w:rFonts w:ascii="Times New Roman" w:hAnsi="Times New Roman"/>
              </w:rPr>
              <w:t>3,290.00</w:t>
            </w:r>
          </w:p>
        </w:tc>
        <w:tc>
          <w:tcPr>
            <w:tcW w:w="3260" w:type="dxa"/>
            <w:noWrap/>
          </w:tcPr>
          <w:p w14:paraId="463FD7E7">
            <w:pPr>
              <w:shd w:val="solid" w:color="FFFFFF" w:fill="auto"/>
              <w:autoSpaceDN w:val="0"/>
              <w:jc w:val="right"/>
              <w:textAlignment w:val="center"/>
              <w:rPr>
                <w:rFonts w:ascii="Times New Roman" w:hAnsi="Times New Roman"/>
              </w:rPr>
            </w:pPr>
            <w:r>
              <w:rPr>
                <w:rFonts w:ascii="Times New Roman" w:hAnsi="Times New Roman"/>
              </w:rPr>
              <w:t>23,309.50</w:t>
            </w:r>
          </w:p>
        </w:tc>
      </w:tr>
      <w:tr w14:paraId="5EE93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475D937E">
            <w:pPr>
              <w:rPr>
                <w:rFonts w:ascii="Times New Roman" w:hAnsi="Times New Roman"/>
                <w:b/>
                <w:bCs/>
              </w:rPr>
            </w:pPr>
            <w:r>
              <w:rPr>
                <w:rFonts w:ascii="Times New Roman" w:hAnsi="Times New Roman" w:cs="Times New Roman"/>
                <w:b/>
                <w:bCs/>
                <w:color w:val="000000"/>
              </w:rPr>
              <w:t>政府支持机构债</w:t>
            </w:r>
          </w:p>
        </w:tc>
        <w:tc>
          <w:tcPr>
            <w:tcW w:w="3118" w:type="dxa"/>
            <w:noWrap/>
          </w:tcPr>
          <w:p w14:paraId="26466F94">
            <w:pPr>
              <w:shd w:val="solid" w:color="FFFFFF" w:fill="auto"/>
              <w:autoSpaceDN w:val="0"/>
              <w:jc w:val="right"/>
              <w:textAlignment w:val="center"/>
              <w:rPr>
                <w:rFonts w:ascii="Times New Roman" w:hAnsi="Times New Roman"/>
              </w:rPr>
            </w:pPr>
            <w:r>
              <w:rPr>
                <w:rFonts w:ascii="Times New Roman" w:hAnsi="Times New Roman"/>
              </w:rPr>
              <w:t>100.00</w:t>
            </w:r>
          </w:p>
        </w:tc>
        <w:tc>
          <w:tcPr>
            <w:tcW w:w="3260" w:type="dxa"/>
            <w:noWrap/>
          </w:tcPr>
          <w:p w14:paraId="3B31231B">
            <w:pPr>
              <w:shd w:val="solid" w:color="FFFFFF" w:fill="auto"/>
              <w:autoSpaceDN w:val="0"/>
              <w:jc w:val="right"/>
              <w:textAlignment w:val="center"/>
              <w:rPr>
                <w:rFonts w:ascii="Times New Roman" w:hAnsi="Times New Roman"/>
              </w:rPr>
            </w:pPr>
            <w:r>
              <w:rPr>
                <w:rFonts w:ascii="Times New Roman" w:hAnsi="Times New Roman"/>
              </w:rPr>
              <w:t>800.00</w:t>
            </w:r>
          </w:p>
        </w:tc>
      </w:tr>
      <w:tr w14:paraId="40E9F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3C70774B">
            <w:pPr>
              <w:rPr>
                <w:rFonts w:ascii="Times New Roman" w:hAnsi="Times New Roman"/>
                <w:b/>
                <w:bCs/>
              </w:rPr>
            </w:pPr>
            <w:r>
              <w:rPr>
                <w:rFonts w:ascii="Times New Roman" w:hAnsi="Times New Roman" w:cs="Times New Roman"/>
                <w:b/>
                <w:bCs/>
                <w:color w:val="000000"/>
              </w:rPr>
              <w:t>商业银行债券</w:t>
            </w:r>
          </w:p>
        </w:tc>
        <w:tc>
          <w:tcPr>
            <w:tcW w:w="3118" w:type="dxa"/>
            <w:noWrap/>
          </w:tcPr>
          <w:p w14:paraId="70B6CBFA">
            <w:pPr>
              <w:shd w:val="solid" w:color="FFFFFF" w:fill="auto"/>
              <w:autoSpaceDN w:val="0"/>
              <w:jc w:val="right"/>
              <w:textAlignment w:val="center"/>
              <w:rPr>
                <w:rFonts w:ascii="Times New Roman" w:hAnsi="Times New Roman"/>
              </w:rPr>
            </w:pPr>
            <w:r>
              <w:rPr>
                <w:rFonts w:ascii="Times New Roman" w:hAnsi="Times New Roman"/>
              </w:rPr>
              <w:t>0.00</w:t>
            </w:r>
          </w:p>
        </w:tc>
        <w:tc>
          <w:tcPr>
            <w:tcW w:w="3260" w:type="dxa"/>
            <w:noWrap/>
          </w:tcPr>
          <w:p w14:paraId="34025DBF">
            <w:pPr>
              <w:shd w:val="solid" w:color="FFFFFF" w:fill="auto"/>
              <w:autoSpaceDN w:val="0"/>
              <w:jc w:val="right"/>
              <w:textAlignment w:val="center"/>
              <w:rPr>
                <w:rFonts w:ascii="Times New Roman" w:hAnsi="Times New Roman"/>
              </w:rPr>
            </w:pPr>
            <w:r>
              <w:rPr>
                <w:rFonts w:ascii="Times New Roman" w:hAnsi="Times New Roman"/>
              </w:rPr>
              <w:t>0.00</w:t>
            </w:r>
          </w:p>
        </w:tc>
      </w:tr>
      <w:tr w14:paraId="6C5EE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7543901C">
            <w:pPr>
              <w:rPr>
                <w:rFonts w:ascii="Times New Roman" w:hAnsi="Times New Roman"/>
                <w:b/>
                <w:bCs/>
              </w:rPr>
            </w:pPr>
            <w:r>
              <w:rPr>
                <w:rFonts w:ascii="Times New Roman" w:hAnsi="Times New Roman" w:cs="Times New Roman"/>
                <w:b/>
                <w:bCs/>
                <w:color w:val="000000"/>
              </w:rPr>
              <w:t>非银行金融机构债券</w:t>
            </w:r>
          </w:p>
        </w:tc>
        <w:tc>
          <w:tcPr>
            <w:tcW w:w="3118" w:type="dxa"/>
            <w:noWrap/>
          </w:tcPr>
          <w:p w14:paraId="687462A7">
            <w:pPr>
              <w:shd w:val="solid" w:color="FFFFFF" w:fill="auto"/>
              <w:autoSpaceDN w:val="0"/>
              <w:jc w:val="right"/>
              <w:textAlignment w:val="center"/>
              <w:rPr>
                <w:rFonts w:ascii="Times New Roman" w:hAnsi="Times New Roman"/>
              </w:rPr>
            </w:pPr>
            <w:r>
              <w:rPr>
                <w:rFonts w:ascii="Times New Roman" w:hAnsi="Times New Roman"/>
              </w:rPr>
              <w:t>20.00</w:t>
            </w:r>
          </w:p>
        </w:tc>
        <w:tc>
          <w:tcPr>
            <w:tcW w:w="3260" w:type="dxa"/>
            <w:noWrap/>
          </w:tcPr>
          <w:p w14:paraId="071D20D8">
            <w:pPr>
              <w:shd w:val="solid" w:color="FFFFFF" w:fill="auto"/>
              <w:autoSpaceDN w:val="0"/>
              <w:jc w:val="right"/>
              <w:textAlignment w:val="center"/>
              <w:rPr>
                <w:rFonts w:ascii="Times New Roman" w:hAnsi="Times New Roman"/>
              </w:rPr>
            </w:pPr>
            <w:r>
              <w:rPr>
                <w:rFonts w:ascii="Times New Roman" w:hAnsi="Times New Roman"/>
              </w:rPr>
              <w:t>140.00</w:t>
            </w:r>
          </w:p>
        </w:tc>
      </w:tr>
      <w:tr w14:paraId="3DEB8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26378D29">
            <w:pPr>
              <w:rPr>
                <w:rFonts w:ascii="Times New Roman" w:hAnsi="Times New Roman"/>
                <w:b/>
                <w:bCs/>
              </w:rPr>
            </w:pPr>
            <w:r>
              <w:rPr>
                <w:rFonts w:ascii="Times New Roman" w:hAnsi="Times New Roman" w:cs="Times New Roman"/>
                <w:b/>
                <w:bCs/>
                <w:color w:val="000000"/>
              </w:rPr>
              <w:t>企业债券</w:t>
            </w:r>
          </w:p>
        </w:tc>
        <w:tc>
          <w:tcPr>
            <w:tcW w:w="3118" w:type="dxa"/>
            <w:noWrap/>
          </w:tcPr>
          <w:p w14:paraId="15F3E22C">
            <w:pPr>
              <w:shd w:val="solid" w:color="FFFFFF" w:fill="auto"/>
              <w:autoSpaceDN w:val="0"/>
              <w:jc w:val="right"/>
              <w:textAlignment w:val="center"/>
              <w:rPr>
                <w:rFonts w:ascii="Times New Roman" w:hAnsi="Times New Roman"/>
              </w:rPr>
            </w:pPr>
            <w:r>
              <w:rPr>
                <w:rFonts w:ascii="Times New Roman" w:hAnsi="Times New Roman"/>
              </w:rPr>
              <w:t>0.00</w:t>
            </w:r>
          </w:p>
        </w:tc>
        <w:tc>
          <w:tcPr>
            <w:tcW w:w="3260" w:type="dxa"/>
            <w:noWrap/>
          </w:tcPr>
          <w:p w14:paraId="10A0B1FD">
            <w:pPr>
              <w:shd w:val="solid" w:color="FFFFFF" w:fill="auto"/>
              <w:autoSpaceDN w:val="0"/>
              <w:jc w:val="right"/>
              <w:textAlignment w:val="center"/>
              <w:rPr>
                <w:rFonts w:ascii="Times New Roman" w:hAnsi="Times New Roman"/>
              </w:rPr>
            </w:pPr>
            <w:r>
              <w:rPr>
                <w:rFonts w:ascii="Times New Roman" w:hAnsi="Times New Roman"/>
              </w:rPr>
              <w:t>35.00</w:t>
            </w:r>
          </w:p>
        </w:tc>
      </w:tr>
      <w:tr w14:paraId="76FF0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2684" w:type="dxa"/>
            <w:shd w:val="clear" w:color="000000" w:fill="C0C0C0"/>
            <w:noWrap/>
            <w:vAlign w:val="center"/>
          </w:tcPr>
          <w:p w14:paraId="64F01D9D">
            <w:pPr>
              <w:rPr>
                <w:rFonts w:ascii="Times New Roman" w:hAnsi="Times New Roman"/>
                <w:b/>
                <w:bCs/>
              </w:rPr>
            </w:pPr>
            <w:r>
              <w:rPr>
                <w:rFonts w:ascii="Times New Roman" w:hAnsi="Times New Roman" w:cs="Times New Roman"/>
                <w:b/>
                <w:bCs/>
                <w:color w:val="000000"/>
              </w:rPr>
              <w:t>信贷资产支持证券</w:t>
            </w:r>
          </w:p>
        </w:tc>
        <w:tc>
          <w:tcPr>
            <w:tcW w:w="3118" w:type="dxa"/>
            <w:noWrap/>
          </w:tcPr>
          <w:p w14:paraId="6A851AB8">
            <w:pPr>
              <w:shd w:val="solid" w:color="FFFFFF" w:fill="auto"/>
              <w:autoSpaceDN w:val="0"/>
              <w:jc w:val="right"/>
              <w:textAlignment w:val="center"/>
              <w:rPr>
                <w:rFonts w:ascii="Times New Roman" w:hAnsi="Times New Roman"/>
              </w:rPr>
            </w:pPr>
            <w:r>
              <w:rPr>
                <w:rFonts w:ascii="Times New Roman" w:hAnsi="Times New Roman"/>
              </w:rPr>
              <w:t>162.27</w:t>
            </w:r>
          </w:p>
        </w:tc>
        <w:tc>
          <w:tcPr>
            <w:tcW w:w="3260" w:type="dxa"/>
            <w:noWrap/>
          </w:tcPr>
          <w:p w14:paraId="7C74CD1C">
            <w:pPr>
              <w:shd w:val="solid" w:color="FFFFFF" w:fill="auto"/>
              <w:autoSpaceDN w:val="0"/>
              <w:jc w:val="right"/>
              <w:textAlignment w:val="center"/>
              <w:rPr>
                <w:rFonts w:ascii="Times New Roman" w:hAnsi="Times New Roman"/>
              </w:rPr>
            </w:pPr>
            <w:r>
              <w:rPr>
                <w:rFonts w:ascii="Times New Roman" w:hAnsi="Times New Roman"/>
              </w:rPr>
              <w:t>710.10</w:t>
            </w:r>
          </w:p>
        </w:tc>
      </w:tr>
      <w:tr w14:paraId="20286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649BFFC6">
            <w:pPr>
              <w:rPr>
                <w:rFonts w:ascii="Times New Roman" w:hAnsi="Times New Roman"/>
                <w:b/>
                <w:bCs/>
              </w:rPr>
            </w:pPr>
            <w:r>
              <w:rPr>
                <w:rFonts w:ascii="Times New Roman" w:hAnsi="Times New Roman" w:cs="Times New Roman"/>
                <w:b/>
                <w:bCs/>
                <w:color w:val="000000"/>
              </w:rPr>
              <w:t>其他债券</w:t>
            </w:r>
          </w:p>
        </w:tc>
        <w:tc>
          <w:tcPr>
            <w:tcW w:w="3118" w:type="dxa"/>
            <w:noWrap/>
          </w:tcPr>
          <w:p w14:paraId="3E5391A5">
            <w:pPr>
              <w:shd w:val="solid" w:color="FFFFFF" w:fill="auto"/>
              <w:autoSpaceDN w:val="0"/>
              <w:jc w:val="right"/>
              <w:textAlignment w:val="center"/>
              <w:rPr>
                <w:rFonts w:ascii="Times New Roman" w:hAnsi="Times New Roman"/>
              </w:rPr>
            </w:pPr>
            <w:r>
              <w:rPr>
                <w:rFonts w:ascii="Times New Roman" w:hAnsi="Times New Roman"/>
              </w:rPr>
              <w:t>0.00</w:t>
            </w:r>
          </w:p>
        </w:tc>
        <w:tc>
          <w:tcPr>
            <w:tcW w:w="3260" w:type="dxa"/>
            <w:noWrap/>
          </w:tcPr>
          <w:p w14:paraId="32C15B4C">
            <w:pPr>
              <w:shd w:val="solid" w:color="FFFFFF" w:fill="auto"/>
              <w:autoSpaceDN w:val="0"/>
              <w:jc w:val="right"/>
              <w:textAlignment w:val="center"/>
              <w:rPr>
                <w:rFonts w:ascii="Times New Roman" w:hAnsi="Times New Roman"/>
              </w:rPr>
            </w:pPr>
            <w:r>
              <w:rPr>
                <w:rFonts w:ascii="Times New Roman" w:hAnsi="Times New Roman"/>
              </w:rPr>
              <w:t>0.00</w:t>
            </w:r>
          </w:p>
        </w:tc>
      </w:tr>
      <w:tr w14:paraId="4DD48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2684" w:type="dxa"/>
            <w:shd w:val="clear" w:color="000000" w:fill="C0C0C0"/>
            <w:noWrap/>
            <w:vAlign w:val="center"/>
          </w:tcPr>
          <w:p w14:paraId="1B97A496">
            <w:pPr>
              <w:rPr>
                <w:rFonts w:ascii="Times New Roman" w:hAnsi="Times New Roman"/>
                <w:b/>
                <w:bCs/>
              </w:rPr>
            </w:pPr>
            <w:r>
              <w:rPr>
                <w:rFonts w:ascii="Times New Roman" w:hAnsi="Times New Roman" w:cs="Times New Roman"/>
                <w:b/>
                <w:bCs/>
                <w:color w:val="000000"/>
              </w:rPr>
              <w:t>合  计</w:t>
            </w:r>
          </w:p>
        </w:tc>
        <w:tc>
          <w:tcPr>
            <w:tcW w:w="3118" w:type="dxa"/>
            <w:noWrap/>
            <w:vAlign w:val="center"/>
          </w:tcPr>
          <w:p w14:paraId="1E79C204">
            <w:pPr>
              <w:shd w:val="solid" w:color="FFFFFF" w:fill="auto"/>
              <w:autoSpaceDN w:val="0"/>
              <w:jc w:val="right"/>
              <w:textAlignment w:val="center"/>
              <w:rPr>
                <w:rFonts w:ascii="Times New Roman" w:hAnsi="Times New Roman"/>
                <w:b/>
                <w:bCs/>
              </w:rPr>
            </w:pPr>
            <w:r>
              <w:rPr>
                <w:rFonts w:ascii="Times New Roman" w:hAnsi="Times New Roman"/>
                <w:b/>
                <w:bCs/>
              </w:rPr>
              <w:fldChar w:fldCharType="begin"/>
            </w:r>
            <w:r>
              <w:rPr>
                <w:rFonts w:ascii="Times New Roman" w:hAnsi="Times New Roman"/>
                <w:b/>
                <w:bCs/>
              </w:rPr>
              <w:instrText xml:space="preserve"> =SUM(ABOVE) </w:instrText>
            </w:r>
            <w:r>
              <w:rPr>
                <w:rFonts w:ascii="Times New Roman" w:hAnsi="Times New Roman"/>
                <w:b/>
                <w:bCs/>
              </w:rPr>
              <w:fldChar w:fldCharType="separate"/>
            </w:r>
            <w:r>
              <w:rPr>
                <w:rFonts w:ascii="Times New Roman" w:hAnsi="Times New Roman"/>
                <w:b/>
                <w:bCs/>
              </w:rPr>
              <w:t>25,419.86</w:t>
            </w:r>
            <w:r>
              <w:rPr>
                <w:rFonts w:ascii="Times New Roman" w:hAnsi="Times New Roman"/>
                <w:b/>
                <w:bCs/>
              </w:rPr>
              <w:fldChar w:fldCharType="end"/>
            </w:r>
          </w:p>
        </w:tc>
        <w:tc>
          <w:tcPr>
            <w:tcW w:w="3260" w:type="dxa"/>
            <w:noWrap/>
            <w:vAlign w:val="center"/>
          </w:tcPr>
          <w:p w14:paraId="007D42EE">
            <w:pPr>
              <w:shd w:val="solid" w:color="FFFFFF" w:fill="auto"/>
              <w:autoSpaceDN w:val="0"/>
              <w:jc w:val="right"/>
              <w:textAlignment w:val="center"/>
              <w:rPr>
                <w:rFonts w:ascii="Times New Roman" w:hAnsi="Times New Roman"/>
                <w:b/>
                <w:bCs/>
              </w:rPr>
            </w:pPr>
            <w:r>
              <w:rPr>
                <w:rFonts w:ascii="Times New Roman" w:hAnsi="Times New Roman"/>
                <w:b/>
                <w:bCs/>
              </w:rPr>
              <w:fldChar w:fldCharType="begin"/>
            </w:r>
            <w:r>
              <w:rPr>
                <w:rFonts w:ascii="Times New Roman" w:hAnsi="Times New Roman"/>
                <w:b/>
                <w:bCs/>
              </w:rPr>
              <w:instrText xml:space="preserve"> =SUM(ABOVE) </w:instrText>
            </w:r>
            <w:r>
              <w:rPr>
                <w:rFonts w:ascii="Times New Roman" w:hAnsi="Times New Roman"/>
                <w:b/>
                <w:bCs/>
              </w:rPr>
              <w:fldChar w:fldCharType="separate"/>
            </w:r>
            <w:r>
              <w:rPr>
                <w:rFonts w:ascii="Times New Roman" w:hAnsi="Times New Roman"/>
                <w:b/>
                <w:bCs/>
              </w:rPr>
              <w:t>135,699.1</w:t>
            </w:r>
            <w:r>
              <w:rPr>
                <w:rFonts w:hint="eastAsia" w:ascii="Times New Roman" w:hAnsi="Times New Roman"/>
                <w:b/>
                <w:bCs/>
              </w:rPr>
              <w:t>8</w:t>
            </w:r>
            <w:r>
              <w:rPr>
                <w:rFonts w:ascii="Times New Roman" w:hAnsi="Times New Roman"/>
                <w:b/>
                <w:bCs/>
              </w:rPr>
              <w:fldChar w:fldCharType="end"/>
            </w:r>
          </w:p>
        </w:tc>
      </w:tr>
    </w:tbl>
    <w:p w14:paraId="0F0A76E2">
      <w:pPr>
        <w:tabs>
          <w:tab w:val="left" w:pos="7560"/>
          <w:tab w:val="left" w:pos="8100"/>
        </w:tabs>
        <w:spacing w:line="360" w:lineRule="auto"/>
        <w:contextualSpacing/>
        <w:jc w:val="right"/>
        <w:rPr>
          <w:rFonts w:ascii="Times New Roman" w:hAnsi="Times New Roman"/>
        </w:rPr>
      </w:pPr>
      <w:r>
        <w:rPr>
          <w:rFonts w:ascii="Times New Roman" w:hAnsi="Times New Roman" w:cs="Times New Roman"/>
        </w:rPr>
        <w:t>数据来源：中国债券信息网</w:t>
      </w:r>
    </w:p>
    <w:p w14:paraId="5D571E04">
      <w:pPr>
        <w:tabs>
          <w:tab w:val="left" w:pos="0"/>
          <w:tab w:val="left" w:pos="840"/>
        </w:tabs>
        <w:spacing w:before="156" w:beforeLines="50" w:after="156" w:afterLines="50"/>
        <w:rPr>
          <w:rFonts w:ascii="Times New Roman" w:hAnsi="Times New Roman" w:eastAsia="黑体"/>
          <w:b/>
          <w:color w:val="FFFFFF"/>
          <w:sz w:val="32"/>
          <w:szCs w:val="32"/>
          <w:highlight w:val="blue"/>
          <w:shd w:val="clear" w:color="FFFFFF" w:fill="D9D9D9"/>
        </w:rPr>
      </w:pPr>
      <w:r>
        <w:rPr>
          <w:rFonts w:ascii="Times New Roman" w:hAnsi="Times New Roman" w:eastAsia="黑体"/>
          <w:b/>
          <w:color w:val="FFFFFF"/>
          <w:sz w:val="32"/>
          <w:szCs w:val="32"/>
          <w:highlight w:val="blue"/>
          <w:shd w:val="clear" w:color="FFFFFF" w:fill="D9D9D9"/>
        </w:rPr>
        <w:t>新规及解读</w:t>
      </w:r>
    </w:p>
    <w:p w14:paraId="4827828C">
      <w:pPr>
        <w:numPr>
          <w:ilvl w:val="0"/>
          <w:numId w:val="4"/>
        </w:numPr>
        <w:tabs>
          <w:tab w:val="left" w:pos="0"/>
          <w:tab w:val="left" w:pos="840"/>
        </w:tabs>
        <w:spacing w:after="156" w:afterLines="50" w:line="360" w:lineRule="auto"/>
        <w:ind w:left="0" w:firstLine="420"/>
        <w:jc w:val="both"/>
        <w:rPr>
          <w:rFonts w:ascii="Times New Roman" w:hAnsi="Times New Roman"/>
        </w:rPr>
      </w:pPr>
      <w:r>
        <w:rPr>
          <w:rFonts w:hint="eastAsia" w:ascii="Times New Roman" w:hAnsi="Times New Roman"/>
        </w:rPr>
        <w:t>6</w:t>
      </w:r>
      <w:r>
        <w:rPr>
          <w:rFonts w:ascii="Times New Roman" w:hAnsi="Times New Roman"/>
        </w:rPr>
        <w:t>月</w:t>
      </w:r>
      <w:r>
        <w:rPr>
          <w:rFonts w:hint="eastAsia" w:ascii="Times New Roman" w:hAnsi="Times New Roman"/>
        </w:rPr>
        <w:t>3</w:t>
      </w:r>
      <w:r>
        <w:rPr>
          <w:rFonts w:ascii="Times New Roman" w:hAnsi="Times New Roman"/>
        </w:rPr>
        <w:t>日</w:t>
      </w:r>
      <w:r>
        <w:rPr>
          <w:rFonts w:hint="eastAsia" w:ascii="Times New Roman" w:hAnsi="Times New Roman" w:cs="Times New Roman"/>
          <w:color w:val="000000"/>
          <w:szCs w:val="27"/>
        </w:rPr>
        <w:t>，国务院办公厅发布</w:t>
      </w:r>
      <w:r>
        <w:rPr>
          <w:rFonts w:ascii="Times New Roman" w:hAnsi="Times New Roman" w:cs="Times New Roman"/>
          <w:color w:val="000000"/>
          <w:szCs w:val="27"/>
        </w:rPr>
        <w:t>《国务院办公厅关于加强监管防范风险促进私募投资基金高质量</w:t>
      </w:r>
      <w:bookmarkStart w:id="2" w:name="_GoBack"/>
      <w:bookmarkEnd w:id="2"/>
      <w:r>
        <w:rPr>
          <w:rFonts w:ascii="Times New Roman" w:hAnsi="Times New Roman" w:cs="Times New Roman"/>
          <w:color w:val="000000"/>
          <w:szCs w:val="27"/>
        </w:rPr>
        <w:t>发展的指导意见》（以下简称《指导意见》</w:t>
      </w:r>
      <w:r>
        <w:rPr>
          <w:rFonts w:hint="eastAsia" w:ascii="Times New Roman" w:hAnsi="Times New Roman" w:cs="Times New Roman"/>
          <w:color w:val="000000"/>
          <w:szCs w:val="27"/>
          <w:lang w:eastAsia="zh-CN"/>
        </w:rPr>
        <w:t>，国办函〔2026〕54号</w:t>
      </w:r>
      <w:r>
        <w:rPr>
          <w:rFonts w:ascii="Times New Roman" w:hAnsi="Times New Roman" w:cs="Times New Roman"/>
          <w:color w:val="000000"/>
          <w:szCs w:val="27"/>
        </w:rPr>
        <w:t>）</w:t>
      </w:r>
      <w:r>
        <w:rPr>
          <w:rFonts w:hint="eastAsia" w:ascii="Times New Roman" w:hAnsi="Times New Roman"/>
        </w:rPr>
        <w:t>。</w:t>
      </w:r>
    </w:p>
    <w:p w14:paraId="6A0190D6">
      <w:pPr>
        <w:tabs>
          <w:tab w:val="left" w:pos="0"/>
          <w:tab w:val="left" w:pos="840"/>
        </w:tabs>
        <w:spacing w:after="156" w:afterLines="50" w:line="360" w:lineRule="auto"/>
        <w:ind w:firstLine="480" w:firstLineChars="200"/>
        <w:jc w:val="both"/>
        <w:rPr>
          <w:rFonts w:ascii="Times New Roman" w:hAnsi="Times New Roman"/>
        </w:rPr>
      </w:pPr>
      <w:r>
        <w:rPr>
          <w:rFonts w:ascii="Times New Roman" w:hAnsi="Times New Roman"/>
        </w:rPr>
        <w:t>《指导意见》从政治性、人民性的高度，对私募基金加强监管、防范风险、促进高质量发展工作进行了全面部署，聚焦私募基金行业提质增效，着力加强部际央地监管协同，构建风险化解长效机制。包括六个部分，除总体要求、保障措施两部分外，整体框架和核心举措包括：入口端，进一步落实相关文件，发挥企业登记前综合研判会商和私募基金登记备案双重把关作用；持续监管端，加大行政监管力度，强化穿透监管和线索发现能力，严厉打击违法犯罪活动，推动提升行业合规内生约束，强化托管机构和中介服务机构监督制约；出口端，推动不符合要求私募基金和企业主体“双出清”。在风险处置方面，通过加强各方情况通报、央地协同化解处置，形成“组合拳”。在规则体系建设方面，重点弥补信息披露、资金募集、强制托管等方面规则短板。另外，在加强政府投资基金和国有企业投资基金管理、防范私募基金被利用为违法违规工具、私募基金领域管合法也要管非法等方面进行了具体安排。同时，《指导意见》进一步提出了推动私募基金规范发展的若干举措。</w:t>
      </w:r>
    </w:p>
    <w:p w14:paraId="216F06FD">
      <w:pPr>
        <w:numPr>
          <w:ilvl w:val="0"/>
          <w:numId w:val="4"/>
        </w:numPr>
        <w:tabs>
          <w:tab w:val="left" w:pos="0"/>
          <w:tab w:val="left" w:pos="840"/>
        </w:tabs>
        <w:spacing w:after="156" w:afterLines="50" w:line="360" w:lineRule="auto"/>
        <w:ind w:left="0" w:firstLine="420"/>
        <w:jc w:val="both"/>
        <w:rPr>
          <w:rFonts w:ascii="Times New Roman" w:hAnsi="Times New Roman"/>
        </w:rPr>
      </w:pPr>
      <w:r>
        <w:rPr>
          <w:rFonts w:hint="eastAsia" w:ascii="Times New Roman" w:hAnsi="Times New Roman"/>
        </w:rPr>
        <w:t>6</w:t>
      </w:r>
      <w:r>
        <w:rPr>
          <w:rFonts w:ascii="Times New Roman" w:hAnsi="Times New Roman"/>
        </w:rPr>
        <w:t>月</w:t>
      </w:r>
      <w:r>
        <w:rPr>
          <w:rFonts w:hint="eastAsia" w:ascii="Times New Roman" w:hAnsi="Times New Roman"/>
        </w:rPr>
        <w:t>5</w:t>
      </w:r>
      <w:r>
        <w:rPr>
          <w:rFonts w:ascii="Times New Roman" w:hAnsi="Times New Roman"/>
        </w:rPr>
        <w:t>日</w:t>
      </w:r>
      <w:r>
        <w:rPr>
          <w:rFonts w:hint="eastAsia" w:ascii="Times New Roman" w:hAnsi="Times New Roman"/>
        </w:rPr>
        <w:t>，</w:t>
      </w:r>
      <w:r>
        <w:rPr>
          <w:rFonts w:ascii="Times New Roman" w:hAnsi="Times New Roman" w:cs="Times New Roman"/>
          <w:color w:val="000000"/>
          <w:szCs w:val="27"/>
        </w:rPr>
        <w:t>中国证券投资基金业协会</w:t>
      </w:r>
      <w:r>
        <w:rPr>
          <w:rFonts w:hint="eastAsia" w:ascii="Times New Roman" w:hAnsi="Times New Roman" w:cs="Times New Roman"/>
          <w:color w:val="000000"/>
          <w:szCs w:val="27"/>
        </w:rPr>
        <w:t>（以下简称“中基协”）发布</w:t>
      </w:r>
      <w:r>
        <w:rPr>
          <w:rFonts w:ascii="Times New Roman" w:hAnsi="Times New Roman" w:cs="Times New Roman"/>
          <w:color w:val="000000"/>
          <w:szCs w:val="27"/>
        </w:rPr>
        <w:t>《私募投资基金信息披露实施细则》</w:t>
      </w:r>
      <w:r>
        <w:rPr>
          <w:rFonts w:ascii="Times New Roman" w:hAnsi="Times New Roman"/>
        </w:rPr>
        <w:t>（以下简称《信息披露细则》）</w:t>
      </w:r>
      <w:r>
        <w:rPr>
          <w:rFonts w:hint="eastAsia" w:ascii="Times New Roman" w:hAnsi="Times New Roman" w:cs="Times New Roman"/>
          <w:color w:val="000000"/>
          <w:szCs w:val="27"/>
        </w:rPr>
        <w:t>，自</w:t>
      </w:r>
      <w:r>
        <w:rPr>
          <w:rFonts w:hint="eastAsia" w:ascii="Times New Roman" w:hAnsi="Times New Roman"/>
        </w:rPr>
        <w:t>2026年9月1日起实施。</w:t>
      </w:r>
    </w:p>
    <w:p w14:paraId="466E318E">
      <w:pPr>
        <w:tabs>
          <w:tab w:val="left" w:pos="0"/>
          <w:tab w:val="left" w:pos="840"/>
        </w:tabs>
        <w:spacing w:after="156" w:afterLines="50" w:line="360" w:lineRule="auto"/>
        <w:ind w:firstLine="480" w:firstLineChars="200"/>
        <w:jc w:val="both"/>
        <w:rPr>
          <w:rFonts w:hint="eastAsia" w:ascii="Times New Roman" w:hAnsi="Times New Roman"/>
        </w:rPr>
      </w:pPr>
      <w:r>
        <w:rPr>
          <w:rFonts w:ascii="Times New Roman" w:hAnsi="Times New Roman"/>
        </w:rPr>
        <w:t>中国证监会</w:t>
      </w:r>
      <w:r>
        <w:rPr>
          <w:rFonts w:hint="eastAsia" w:ascii="Times New Roman" w:hAnsi="Times New Roman"/>
        </w:rPr>
        <w:t>于2026年2月24日</w:t>
      </w:r>
      <w:r>
        <w:rPr>
          <w:rFonts w:ascii="Times New Roman" w:hAnsi="Times New Roman"/>
        </w:rPr>
        <w:t>发布《私募投资基金信息披露监督管理办法》，规范私募基金信息披露行为，压实私募基金管理人等各主体信息披露责任，明确违法违规法律责任，提高私募基金运作透明度。为落实《私募投资基金信息披露监督管理办法》要求，进一步细化信息披露相关要求，加强信息披露自律管理，</w:t>
      </w:r>
      <w:r>
        <w:rPr>
          <w:rFonts w:hint="eastAsia" w:ascii="Times New Roman" w:hAnsi="Times New Roman" w:cs="Times New Roman"/>
          <w:color w:val="000000"/>
          <w:szCs w:val="27"/>
        </w:rPr>
        <w:t>中基协</w:t>
      </w:r>
      <w:r>
        <w:rPr>
          <w:rFonts w:ascii="Times New Roman" w:hAnsi="Times New Roman"/>
        </w:rPr>
        <w:t>起草形成《信息披露细则》</w:t>
      </w:r>
      <w:r>
        <w:rPr>
          <w:rFonts w:hint="eastAsia" w:ascii="Times New Roman" w:hAnsi="Times New Roman"/>
        </w:rPr>
        <w:t>。</w:t>
      </w:r>
      <w:r>
        <w:rPr>
          <w:rFonts w:ascii="Times New Roman" w:hAnsi="Times New Roman"/>
        </w:rPr>
        <w:t>《信息披露细则》共七章五十二条，主要包括以下内容：</w:t>
      </w:r>
      <w:r>
        <w:rPr>
          <w:rFonts w:hint="eastAsia" w:ascii="Times New Roman" w:hAnsi="Times New Roman"/>
          <w:b/>
          <w:bCs/>
          <w:lang w:val="en-US" w:eastAsia="zh-CN"/>
        </w:rPr>
        <w:t>一是</w:t>
      </w:r>
      <w:r>
        <w:rPr>
          <w:rFonts w:ascii="Times New Roman" w:hAnsi="Times New Roman"/>
        </w:rPr>
        <w:t>细化私募证券基金定期报告的披露要求</w:t>
      </w:r>
      <w:r>
        <w:rPr>
          <w:rFonts w:hint="eastAsia" w:ascii="Times New Roman" w:hAnsi="Times New Roman"/>
        </w:rPr>
        <w:t>；</w:t>
      </w:r>
      <w:r>
        <w:rPr>
          <w:rFonts w:hint="eastAsia" w:ascii="Times New Roman" w:hAnsi="Times New Roman"/>
          <w:b/>
          <w:bCs/>
          <w:lang w:val="en-US" w:eastAsia="zh-CN"/>
        </w:rPr>
        <w:t>二是</w:t>
      </w:r>
      <w:r>
        <w:rPr>
          <w:rFonts w:ascii="Times New Roman" w:hAnsi="Times New Roman"/>
        </w:rPr>
        <w:t>细化私募股权基金定期报告的披露要求</w:t>
      </w:r>
      <w:r>
        <w:rPr>
          <w:rFonts w:hint="eastAsia" w:ascii="Times New Roman" w:hAnsi="Times New Roman"/>
        </w:rPr>
        <w:t>；</w:t>
      </w:r>
      <w:r>
        <w:rPr>
          <w:rFonts w:hint="eastAsia" w:ascii="Times New Roman" w:hAnsi="Times New Roman"/>
          <w:b/>
          <w:bCs/>
          <w:lang w:val="en-US" w:eastAsia="zh-CN"/>
        </w:rPr>
        <w:t>三是</w:t>
      </w:r>
      <w:r>
        <w:rPr>
          <w:rFonts w:ascii="Times New Roman" w:hAnsi="Times New Roman"/>
        </w:rPr>
        <w:t>进一步明确私募基金临时报告和清算报告的披露要求</w:t>
      </w:r>
      <w:r>
        <w:rPr>
          <w:rFonts w:hint="eastAsia" w:ascii="Times New Roman" w:hAnsi="Times New Roman"/>
        </w:rPr>
        <w:t>；</w:t>
      </w:r>
      <w:r>
        <w:rPr>
          <w:rFonts w:hint="eastAsia" w:ascii="Times New Roman" w:hAnsi="Times New Roman"/>
          <w:b/>
          <w:bCs/>
          <w:lang w:val="en-US" w:eastAsia="zh-CN"/>
        </w:rPr>
        <w:t>四是</w:t>
      </w:r>
      <w:r>
        <w:rPr>
          <w:rFonts w:ascii="Times New Roman" w:hAnsi="Times New Roman"/>
        </w:rPr>
        <w:t>制定信息披露内容模板、明确信息披露备份等要求</w:t>
      </w:r>
      <w:r>
        <w:rPr>
          <w:rFonts w:hint="eastAsia" w:ascii="Times New Roman" w:hAnsi="Times New Roman"/>
        </w:rPr>
        <w:t>；</w:t>
      </w:r>
      <w:r>
        <w:rPr>
          <w:rFonts w:hint="eastAsia" w:ascii="Times New Roman" w:hAnsi="Times New Roman"/>
          <w:b/>
          <w:bCs/>
          <w:lang w:val="en-US" w:eastAsia="zh-CN"/>
        </w:rPr>
        <w:t>五是</w:t>
      </w:r>
      <w:r>
        <w:rPr>
          <w:rFonts w:ascii="Times New Roman" w:hAnsi="Times New Roman"/>
        </w:rPr>
        <w:t>加强自律管理</w:t>
      </w:r>
      <w:r>
        <w:rPr>
          <w:rFonts w:hint="eastAsia" w:ascii="Times New Roman" w:hAnsi="Times New Roman"/>
        </w:rPr>
        <w:t>；</w:t>
      </w:r>
      <w:r>
        <w:rPr>
          <w:rFonts w:hint="eastAsia" w:ascii="Times New Roman" w:hAnsi="Times New Roman"/>
          <w:b/>
          <w:bCs/>
          <w:lang w:val="en-US" w:eastAsia="zh-CN"/>
        </w:rPr>
        <w:t>六是</w:t>
      </w:r>
      <w:r>
        <w:rPr>
          <w:rFonts w:ascii="Times New Roman" w:hAnsi="Times New Roman"/>
        </w:rPr>
        <w:t>明确发布时间。</w:t>
      </w:r>
    </w:p>
    <w:p w14:paraId="43A91CBC">
      <w:pPr>
        <w:pStyle w:val="6"/>
        <w:numPr>
          <w:ilvl w:val="0"/>
          <w:numId w:val="5"/>
        </w:numPr>
        <w:shd w:val="clear" w:color="auto" w:fill="FFFFFF"/>
        <w:tabs>
          <w:tab w:val="left" w:pos="426"/>
        </w:tabs>
        <w:adjustRightInd w:val="0"/>
        <w:snapToGrid w:val="0"/>
        <w:spacing w:after="156" w:afterLines="50" w:line="360" w:lineRule="auto"/>
        <w:ind w:left="0" w:firstLine="480" w:firstLineChars="200"/>
        <w:jc w:val="both"/>
        <w:outlineLvl w:val="1"/>
        <w:rPr>
          <w:rFonts w:ascii="Times New Roman" w:hAnsi="Times New Roman" w:cs="Times New Roman"/>
          <w:color w:val="000000"/>
        </w:rPr>
      </w:pPr>
      <w:r>
        <w:rPr>
          <w:rFonts w:hint="eastAsia" w:ascii="Times New Roman" w:hAnsi="Times New Roman" w:cs="Times New Roman"/>
          <w:color w:val="000000"/>
        </w:rPr>
        <w:t>6月17日，上交所发布</w:t>
      </w:r>
      <w:r>
        <w:rPr>
          <w:rFonts w:ascii="Times New Roman" w:hAnsi="Times New Roman" w:cs="Times New Roman"/>
          <w:color w:val="000000"/>
        </w:rPr>
        <w:t>《上海证券交易所发行上市审核规则适用指引第10号——人工智能大模型企业适用科创板第五套上市标准》</w:t>
      </w:r>
      <w:r>
        <w:rPr>
          <w:rFonts w:hint="eastAsia" w:ascii="Times New Roman" w:hAnsi="Times New Roman" w:cs="Times New Roman"/>
          <w:color w:val="000000"/>
        </w:rPr>
        <w:t>（以下简称《适用指引》），</w:t>
      </w:r>
      <w:r>
        <w:rPr>
          <w:rFonts w:ascii="Times New Roman" w:hAnsi="Times New Roman" w:cs="Times New Roman"/>
          <w:color w:val="000000"/>
        </w:rPr>
        <w:t>并自发布之日起施行</w:t>
      </w:r>
      <w:r>
        <w:rPr>
          <w:rFonts w:hint="eastAsia" w:ascii="Times New Roman" w:hAnsi="Times New Roman" w:cs="Times New Roman"/>
          <w:color w:val="000000"/>
        </w:rPr>
        <w:t>。</w:t>
      </w:r>
    </w:p>
    <w:p w14:paraId="2C8F5FA8">
      <w:pPr>
        <w:pStyle w:val="6"/>
        <w:shd w:val="clear" w:color="auto" w:fill="FFFFFF"/>
        <w:tabs>
          <w:tab w:val="left" w:pos="426"/>
        </w:tabs>
        <w:adjustRightInd w:val="0"/>
        <w:snapToGrid w:val="0"/>
        <w:spacing w:after="156" w:afterLines="50" w:line="360" w:lineRule="auto"/>
        <w:ind w:firstLine="480" w:firstLineChars="200"/>
        <w:jc w:val="both"/>
        <w:outlineLvl w:val="1"/>
        <w:rPr>
          <w:rFonts w:ascii="Times New Roman" w:hAnsi="Times New Roman" w:cs="Times New Roman"/>
          <w:color w:val="000000"/>
        </w:rPr>
      </w:pPr>
      <w:r>
        <w:rPr>
          <w:rFonts w:ascii="Times New Roman" w:hAnsi="Times New Roman" w:cs="Times New Roman"/>
          <w:color w:val="000000"/>
        </w:rPr>
        <w:t>《</w:t>
      </w:r>
      <w:r>
        <w:rPr>
          <w:rFonts w:hint="eastAsia" w:ascii="Times New Roman" w:hAnsi="Times New Roman" w:cs="Times New Roman"/>
          <w:color w:val="000000"/>
        </w:rPr>
        <w:t>适用</w:t>
      </w:r>
      <w:r>
        <w:rPr>
          <w:rFonts w:ascii="Times New Roman" w:hAnsi="Times New Roman" w:cs="Times New Roman"/>
          <w:color w:val="000000"/>
        </w:rPr>
        <w:t>指引》共十五条，对大模型企业适用科创板第五套上市标准作出了细化规定。主要内容如下：</w:t>
      </w:r>
      <w:r>
        <w:rPr>
          <w:rFonts w:hint="eastAsia" w:ascii="Times New Roman" w:hAnsi="Times New Roman" w:cs="Times New Roman"/>
          <w:b/>
          <w:bCs/>
          <w:color w:val="000000"/>
          <w:lang w:val="en-US" w:eastAsia="zh-CN"/>
        </w:rPr>
        <w:t>一是</w:t>
      </w:r>
      <w:r>
        <w:rPr>
          <w:rFonts w:ascii="Times New Roman" w:hAnsi="Times New Roman" w:cs="Times New Roman"/>
          <w:color w:val="000000"/>
        </w:rPr>
        <w:t>业务范围以及“硬科技”属性要求。明确主营业务具体范围为“人工智能大模型的自主研发、模型服务或模型应用等”，更加看重发行人的“硬科技”属性。</w:t>
      </w:r>
      <w:r>
        <w:rPr>
          <w:rFonts w:hint="eastAsia" w:ascii="Times New Roman" w:hAnsi="Times New Roman" w:cs="Times New Roman"/>
          <w:b/>
          <w:bCs/>
          <w:color w:val="000000"/>
          <w:lang w:val="en-US" w:eastAsia="zh-CN"/>
        </w:rPr>
        <w:t>二是</w:t>
      </w:r>
      <w:r>
        <w:rPr>
          <w:rFonts w:ascii="Times New Roman" w:hAnsi="Times New Roman" w:cs="Times New Roman"/>
          <w:color w:val="000000"/>
        </w:rPr>
        <w:t>关于明显技术优势。明确企业需在人工智能领域持续开展研发创新，突破关键核心技术，具备明显的技术优势、取得重大研发成果，或牵头承担国家人工智能重点任务。</w:t>
      </w:r>
      <w:r>
        <w:rPr>
          <w:rFonts w:hint="eastAsia" w:ascii="Times New Roman" w:hAnsi="Times New Roman" w:cs="Times New Roman"/>
          <w:b/>
          <w:bCs/>
          <w:color w:val="000000"/>
          <w:lang w:val="en-US" w:eastAsia="zh-CN"/>
        </w:rPr>
        <w:t>三是</w:t>
      </w:r>
      <w:r>
        <w:rPr>
          <w:rFonts w:ascii="Times New Roman" w:hAnsi="Times New Roman" w:cs="Times New Roman"/>
          <w:color w:val="000000"/>
        </w:rPr>
        <w:t>关于阶段性成果。要求企业“在申报时至少有一个大模型产品已完成上线发布并实现规模化应用”，且后续不存在技术方面的重大不利事项。</w:t>
      </w:r>
      <w:r>
        <w:rPr>
          <w:rFonts w:hint="eastAsia" w:ascii="Times New Roman" w:hAnsi="Times New Roman" w:cs="Times New Roman"/>
          <w:b/>
          <w:bCs/>
          <w:color w:val="000000"/>
          <w:lang w:val="en-US" w:eastAsia="zh-CN"/>
        </w:rPr>
        <w:t>四是</w:t>
      </w:r>
      <w:r>
        <w:rPr>
          <w:rFonts w:ascii="Times New Roman" w:hAnsi="Times New Roman" w:cs="Times New Roman"/>
          <w:color w:val="000000"/>
        </w:rPr>
        <w:t>关于取得批准。企业在人工智能大模型的上线对外服务、商业化等过程中，应当按照法律、行政法规和国家有关规定取得国家有关部门的批准，并开展相关评估、备案等手续。</w:t>
      </w:r>
      <w:r>
        <w:rPr>
          <w:rFonts w:hint="eastAsia" w:ascii="Times New Roman" w:hAnsi="Times New Roman" w:cs="Times New Roman"/>
          <w:b/>
          <w:bCs/>
          <w:color w:val="000000"/>
          <w:lang w:val="en-US" w:eastAsia="zh-CN"/>
        </w:rPr>
        <w:t>五是</w:t>
      </w:r>
      <w:r>
        <w:rPr>
          <w:rFonts w:ascii="Times New Roman" w:hAnsi="Times New Roman" w:cs="Times New Roman"/>
          <w:color w:val="000000"/>
        </w:rPr>
        <w:t>关于行业地位。明确要求人工智能大模型企业行业地位突出、排名靠前，在产业链中占据重要地位，在行业中能够发挥示范引领作用，取得相关市场主体的较高认可，并将获得资深专业机构投资者投资入股作为重要考量因素。</w:t>
      </w:r>
      <w:r>
        <w:rPr>
          <w:rFonts w:hint="eastAsia" w:ascii="Times New Roman" w:hAnsi="Times New Roman" w:cs="Times New Roman"/>
          <w:b/>
          <w:bCs/>
          <w:color w:val="000000"/>
          <w:lang w:val="en-US" w:eastAsia="zh-CN"/>
        </w:rPr>
        <w:t>六是</w:t>
      </w:r>
      <w:r>
        <w:rPr>
          <w:rFonts w:ascii="Times New Roman" w:hAnsi="Times New Roman" w:cs="Times New Roman"/>
          <w:color w:val="000000"/>
        </w:rPr>
        <w:t>关于市场空间。发行人的人工智能大模型业务或产品应具有清晰的目标市场，现实或潜在需求大，在研发进度、关键指标等方面具有突出市场竞争优势，市场空间大，未来成长性强。</w:t>
      </w:r>
      <w:r>
        <w:rPr>
          <w:rFonts w:hint="eastAsia" w:ascii="Times New Roman" w:hAnsi="Times New Roman" w:cs="Times New Roman"/>
          <w:b/>
          <w:bCs/>
          <w:color w:val="000000"/>
          <w:lang w:val="en-US" w:eastAsia="zh-CN"/>
        </w:rPr>
        <w:t>七是</w:t>
      </w:r>
      <w:r>
        <w:rPr>
          <w:rFonts w:ascii="Times New Roman" w:hAnsi="Times New Roman" w:cs="Times New Roman"/>
          <w:color w:val="000000"/>
        </w:rPr>
        <w:t>关于商业化安排。发行人应当为人工智能大模型业务或产品制定明确的商业化安排，同时不存在大模型业务或产品商业化预期明显不足等可能对企业持续经营能力产生重大不利影响的事项。</w:t>
      </w:r>
      <w:r>
        <w:rPr>
          <w:rFonts w:hint="eastAsia" w:ascii="Times New Roman" w:hAnsi="Times New Roman" w:cs="Times New Roman"/>
          <w:b/>
          <w:bCs/>
          <w:color w:val="000000"/>
          <w:lang w:val="en-US" w:eastAsia="zh-CN"/>
        </w:rPr>
        <w:t>八是</w:t>
      </w:r>
      <w:r>
        <w:rPr>
          <w:rFonts w:ascii="Times New Roman" w:hAnsi="Times New Roman" w:cs="Times New Roman"/>
          <w:color w:val="000000"/>
        </w:rPr>
        <w:t>关于合规要求。发行人业务或产品应当符合法律、行政法规、国家有关规定和强制性国家标准等要求，符合国家安全、数据安全与隐私保护、知识产权保护等相关规定。如涉及境外业务的，应当符合技术出口、数据跨境等相关安全规定。</w:t>
      </w:r>
    </w:p>
    <w:p w14:paraId="67718C2D">
      <w:pPr>
        <w:pStyle w:val="6"/>
        <w:keepNext w:val="0"/>
        <w:keepLines w:val="0"/>
        <w:pageBreakBefore w:val="0"/>
        <w:widowControl/>
        <w:numPr>
          <w:ilvl w:val="0"/>
          <w:numId w:val="5"/>
        </w:numPr>
        <w:shd w:val="clear" w:color="auto" w:fill="FFFFFF"/>
        <w:tabs>
          <w:tab w:val="left" w:pos="426"/>
        </w:tabs>
        <w:kinsoku/>
        <w:wordWrap/>
        <w:overflowPunct/>
        <w:topLinePunct w:val="0"/>
        <w:autoSpaceDE/>
        <w:autoSpaceDN/>
        <w:bidi w:val="0"/>
        <w:adjustRightInd w:val="0"/>
        <w:snapToGrid w:val="0"/>
        <w:spacing w:after="156" w:afterLines="50" w:line="360" w:lineRule="auto"/>
        <w:ind w:left="0" w:firstLine="480" w:firstLineChars="200"/>
        <w:jc w:val="both"/>
        <w:textAlignment w:val="auto"/>
        <w:outlineLvl w:val="1"/>
        <w:rPr>
          <w:rFonts w:ascii="Times New Roman" w:hAnsi="Times New Roman" w:cs="Times New Roman"/>
          <w:color w:val="000000"/>
        </w:rPr>
      </w:pPr>
      <w:r>
        <w:rPr>
          <w:rFonts w:hint="eastAsia" w:ascii="Times New Roman" w:hAnsi="Times New Roman" w:cs="Times New Roman"/>
          <w:color w:val="000000"/>
        </w:rPr>
        <w:t>6月30日，中国证监会</w:t>
      </w:r>
      <w:r>
        <w:rPr>
          <w:rFonts w:hint="eastAsia" w:ascii="Times New Roman" w:hAnsi="Times New Roman" w:cs="Times New Roman"/>
          <w:color w:val="000000"/>
          <w:szCs w:val="27"/>
          <w:lang w:val="en-US" w:eastAsia="zh-CN"/>
        </w:rPr>
        <w:t>于</w:t>
      </w:r>
      <w:r>
        <w:rPr>
          <w:rFonts w:hint="eastAsia" w:ascii="Times New Roman" w:hAnsi="Times New Roman" w:cs="Times New Roman"/>
          <w:color w:val="000000"/>
          <w:szCs w:val="27"/>
        </w:rPr>
        <w:t>2025年12月3</w:t>
      </w:r>
      <w:r>
        <w:rPr>
          <w:rFonts w:hint="eastAsia" w:ascii="Times New Roman" w:hAnsi="Times New Roman" w:cs="Times New Roman"/>
          <w:color w:val="000000"/>
          <w:szCs w:val="27"/>
          <w:lang w:val="en-US" w:eastAsia="zh-CN"/>
        </w:rPr>
        <w:t>1</w:t>
      </w:r>
      <w:r>
        <w:rPr>
          <w:rFonts w:hint="eastAsia" w:ascii="Times New Roman" w:hAnsi="Times New Roman" w:cs="Times New Roman"/>
          <w:color w:val="000000"/>
          <w:szCs w:val="27"/>
        </w:rPr>
        <w:t>日</w:t>
      </w:r>
      <w:r>
        <w:rPr>
          <w:rFonts w:hint="eastAsia" w:ascii="Times New Roman" w:hAnsi="Times New Roman" w:cs="Times New Roman"/>
          <w:color w:val="000000"/>
        </w:rPr>
        <w:t>发布的《</w:t>
      </w:r>
      <w:r>
        <w:rPr>
          <w:rFonts w:ascii="Times New Roman" w:hAnsi="Times New Roman" w:cs="Times New Roman"/>
          <w:color w:val="000000"/>
        </w:rPr>
        <w:t>证券期货市场监督管理措施实施办法</w:t>
      </w:r>
      <w:r>
        <w:rPr>
          <w:rFonts w:hint="eastAsia" w:ascii="Times New Roman" w:hAnsi="Times New Roman" w:cs="Times New Roman"/>
          <w:color w:val="000000"/>
        </w:rPr>
        <w:t>》（以下简称《实施办法》</w:t>
      </w:r>
      <w:r>
        <w:rPr>
          <w:rFonts w:hint="eastAsia" w:ascii="Times New Roman" w:hAnsi="Times New Roman" w:cs="Times New Roman"/>
          <w:color w:val="000000"/>
          <w:lang w:eastAsia="zh-CN"/>
        </w:rPr>
        <w:t>，</w:t>
      </w:r>
      <w:r>
        <w:rPr>
          <w:rFonts w:hint="eastAsia" w:ascii="Times New Roman" w:hAnsi="Times New Roman" w:cs="Times New Roman"/>
          <w:color w:val="000000"/>
        </w:rPr>
        <w:t>中国证监会</w:t>
      </w:r>
      <w:r>
        <w:rPr>
          <w:rFonts w:hint="eastAsia" w:ascii="Times New Roman" w:hAnsi="Times New Roman" w:cs="Times New Roman"/>
          <w:color w:val="000000"/>
          <w:lang w:eastAsia="zh-CN"/>
        </w:rPr>
        <w:t>令第231号</w:t>
      </w:r>
      <w:r>
        <w:rPr>
          <w:rFonts w:hint="eastAsia" w:ascii="Times New Roman" w:hAnsi="Times New Roman" w:cs="Times New Roman"/>
          <w:color w:val="000000"/>
        </w:rPr>
        <w:t>）正式</w:t>
      </w:r>
      <w:r>
        <w:rPr>
          <w:rFonts w:hint="eastAsia" w:ascii="Times New Roman" w:hAnsi="Times New Roman" w:cs="Times New Roman"/>
          <w:color w:val="000000"/>
          <w:lang w:val="en-US" w:eastAsia="zh-CN"/>
        </w:rPr>
        <w:t>施行</w:t>
      </w:r>
      <w:r>
        <w:rPr>
          <w:rFonts w:hint="eastAsia" w:ascii="Times New Roman" w:hAnsi="Times New Roman" w:cs="Times New Roman"/>
          <w:color w:val="000000"/>
        </w:rPr>
        <w:t>。</w:t>
      </w:r>
    </w:p>
    <w:p w14:paraId="1DF827B8">
      <w:pPr>
        <w:tabs>
          <w:tab w:val="left" w:pos="0"/>
          <w:tab w:val="left" w:pos="840"/>
        </w:tabs>
        <w:spacing w:after="156" w:afterLines="50" w:line="360" w:lineRule="auto"/>
        <w:ind w:firstLine="480" w:firstLineChars="200"/>
        <w:jc w:val="both"/>
        <w:rPr>
          <w:rFonts w:hint="default" w:ascii="Times New Roman" w:hAnsi="Times New Roman" w:eastAsia="宋体" w:cs="Times New Roman"/>
          <w:color w:val="000000"/>
          <w:lang w:val="en-US" w:eastAsia="zh-CN"/>
        </w:rPr>
      </w:pPr>
      <w:r>
        <w:rPr>
          <w:rFonts w:ascii="Times New Roman" w:hAnsi="Times New Roman" w:cs="Times New Roman"/>
          <w:color w:val="000000"/>
          <w:szCs w:val="27"/>
        </w:rPr>
        <w:t>《实施办法》</w:t>
      </w:r>
      <w:r>
        <w:rPr>
          <w:rFonts w:hint="eastAsia" w:ascii="Times New Roman" w:hAnsi="Times New Roman" w:cs="Times New Roman"/>
          <w:color w:val="000000"/>
          <w:szCs w:val="27"/>
        </w:rPr>
        <w:t>共二十五条，主要包括以下内容：</w:t>
      </w:r>
      <w:r>
        <w:rPr>
          <w:rFonts w:hint="eastAsia" w:ascii="Times New Roman" w:hAnsi="Times New Roman" w:cs="Times New Roman"/>
          <w:b/>
          <w:bCs/>
          <w:color w:val="000000"/>
          <w:szCs w:val="27"/>
        </w:rPr>
        <w:t>一是</w:t>
      </w:r>
      <w:r>
        <w:rPr>
          <w:rFonts w:hint="eastAsia" w:ascii="Times New Roman" w:hAnsi="Times New Roman" w:cs="Times New Roman"/>
          <w:color w:val="000000"/>
          <w:szCs w:val="27"/>
        </w:rPr>
        <w:t>明确监管措施的种类。列出责令改正、监管谈话、出具警示函、责令定期报告等十四类比较常用的措施，并将“法律、行政法规、中国证监会规章规定的其他监督管理措施”作为兜底规定。</w:t>
      </w:r>
      <w:r>
        <w:rPr>
          <w:rFonts w:hint="eastAsia" w:ascii="Times New Roman" w:hAnsi="Times New Roman" w:cs="Times New Roman"/>
          <w:b/>
          <w:bCs/>
          <w:color w:val="000000"/>
          <w:szCs w:val="27"/>
        </w:rPr>
        <w:t>二是</w:t>
      </w:r>
      <w:r>
        <w:rPr>
          <w:rFonts w:hint="eastAsia" w:ascii="Times New Roman" w:hAnsi="Times New Roman" w:cs="Times New Roman"/>
          <w:color w:val="000000"/>
          <w:szCs w:val="27"/>
        </w:rPr>
        <w:t>明确监管措施的实施原则。实施监管措施，应当遵循依法、效率、公正原则，应当符合法律、行政法规、中国证监会规章规定的程序，应当及时矫正违法行为，防范风险蔓延与危害后果扩散，坚持风险防控与教育相结合，应当以事实为依据，与行为的性质、情节、危害程度以及风险大小相当。</w:t>
      </w:r>
      <w:r>
        <w:rPr>
          <w:rFonts w:hint="eastAsia" w:ascii="Times New Roman" w:hAnsi="Times New Roman" w:cs="Times New Roman"/>
          <w:b/>
          <w:bCs/>
          <w:color w:val="000000"/>
          <w:szCs w:val="27"/>
        </w:rPr>
        <w:t>三是</w:t>
      </w:r>
      <w:r>
        <w:rPr>
          <w:rFonts w:hint="eastAsia" w:ascii="Times New Roman" w:hAnsi="Times New Roman" w:cs="Times New Roman"/>
          <w:color w:val="000000"/>
          <w:szCs w:val="27"/>
        </w:rPr>
        <w:t>明确实施监管措施的程序要求。包括监管措施的取证、决定、送达、现场执法、回避、法制审核等一般程序要求，事先告知等特别程序要求，以及紧急情况下的快速处置机制。</w:t>
      </w:r>
      <w:r>
        <w:rPr>
          <w:rFonts w:hint="eastAsia" w:ascii="Times New Roman" w:hAnsi="Times New Roman" w:cs="Times New Roman"/>
          <w:b/>
          <w:bCs/>
          <w:color w:val="000000"/>
          <w:szCs w:val="27"/>
        </w:rPr>
        <w:t>四是</w:t>
      </w:r>
      <w:r>
        <w:rPr>
          <w:rFonts w:hint="eastAsia" w:ascii="Times New Roman" w:hAnsi="Times New Roman" w:cs="Times New Roman"/>
          <w:color w:val="000000"/>
          <w:szCs w:val="27"/>
        </w:rPr>
        <w:t>明确监管措施决定的作出及执行要求。包括监管措施决定书应当载明的事项、公开要求、送达程序等</w:t>
      </w:r>
      <w:r>
        <w:rPr>
          <w:rFonts w:hint="eastAsia" w:ascii="Times New Roman" w:hAnsi="Times New Roman" w:cs="Times New Roman"/>
          <w:color w:val="000000"/>
          <w:szCs w:val="27"/>
          <w:lang w:val="en-US" w:eastAsia="zh-CN"/>
        </w:rPr>
        <w:t>。</w:t>
      </w:r>
    </w:p>
    <w:p w14:paraId="57FBB026">
      <w:pPr>
        <w:tabs>
          <w:tab w:val="left" w:pos="0"/>
          <w:tab w:val="left" w:pos="840"/>
        </w:tabs>
        <w:spacing w:before="156" w:beforeLines="50" w:after="156" w:afterLines="50"/>
        <w:rPr>
          <w:rFonts w:ascii="Times New Roman" w:hAnsi="Times New Roman" w:eastAsia="黑体"/>
          <w:b/>
          <w:color w:val="FFFFFF"/>
          <w:sz w:val="32"/>
          <w:szCs w:val="32"/>
          <w:highlight w:val="blue"/>
          <w:shd w:val="clear" w:color="FFFFFF" w:fill="D9D9D9"/>
        </w:rPr>
      </w:pPr>
      <w:r>
        <w:rPr>
          <w:rFonts w:ascii="Times New Roman" w:hAnsi="Times New Roman" w:eastAsia="黑体"/>
          <w:b/>
          <w:color w:val="FFFFFF"/>
          <w:sz w:val="32"/>
          <w:szCs w:val="32"/>
          <w:highlight w:val="blue"/>
          <w:shd w:val="clear" w:color="FFFFFF" w:fill="D9D9D9"/>
        </w:rPr>
        <w:t>市场要闻</w:t>
      </w:r>
    </w:p>
    <w:p w14:paraId="1197B9F5">
      <w:pPr>
        <w:numPr>
          <w:ilvl w:val="0"/>
          <w:numId w:val="5"/>
        </w:numPr>
        <w:tabs>
          <w:tab w:val="left" w:pos="0"/>
          <w:tab w:val="left" w:pos="840"/>
        </w:tabs>
        <w:spacing w:after="156" w:afterLines="50" w:line="360" w:lineRule="auto"/>
        <w:ind w:left="0" w:firstLine="420"/>
        <w:jc w:val="both"/>
        <w:rPr>
          <w:rFonts w:ascii="Times New Roman" w:hAnsi="Times New Roman"/>
        </w:rPr>
      </w:pPr>
      <w:r>
        <w:rPr>
          <w:rFonts w:ascii="Times New Roman" w:hAnsi="Times New Roman"/>
        </w:rPr>
        <w:t>吴清主席在2026陆家嘴论坛上发表</w:t>
      </w:r>
      <w:r>
        <w:rPr>
          <w:rFonts w:hint="eastAsia" w:ascii="Times New Roman" w:hAnsi="Times New Roman"/>
        </w:rPr>
        <w:t>主题</w:t>
      </w:r>
      <w:r>
        <w:rPr>
          <w:rFonts w:ascii="Times New Roman" w:hAnsi="Times New Roman"/>
        </w:rPr>
        <w:t>演讲</w:t>
      </w:r>
    </w:p>
    <w:p w14:paraId="4973DA1D">
      <w:pPr>
        <w:tabs>
          <w:tab w:val="left" w:pos="0"/>
          <w:tab w:val="left" w:pos="840"/>
        </w:tabs>
        <w:spacing w:after="156" w:afterLines="50" w:line="360" w:lineRule="auto"/>
        <w:ind w:firstLine="480" w:firstLineChars="200"/>
        <w:jc w:val="both"/>
        <w:rPr>
          <w:rFonts w:hint="eastAsia" w:ascii="Times New Roman" w:hAnsi="Times New Roman"/>
        </w:rPr>
      </w:pPr>
      <w:r>
        <w:rPr>
          <w:rFonts w:hint="eastAsia" w:ascii="Times New Roman" w:hAnsi="Times New Roman"/>
        </w:rPr>
        <w:t>6月17日，</w:t>
      </w:r>
      <w:r>
        <w:rPr>
          <w:rFonts w:ascii="Times New Roman" w:hAnsi="Times New Roman"/>
        </w:rPr>
        <w:t>吴清主席在2026陆家嘴论坛上发表主题为《进一步健全投融资相协调的资本市场功能 更好服务新质生产力和经济高质量发展》的演讲。演讲重点包括对内“提升资本市场服务新质生产力水平”与对外“稳步推进资本市场高水平双向开放”两部分。在资本市场服务新质生产力领域，政策端坚持扶优限劣。一方面，扩大第五套标准适用范围至人工智能领域，积极支持优质人工智能大模型企业上市。另一方面，严守监管底线，严厉打击借科技之名炒作概念及操纵市场等乱象。在高质量对外开放领域，政策明确支持香港启动5年期人民币国债期货上市交易，为国际投资者配置人民币债券提供更加便利的离岸对冲工具，提升长期资金配置中国资产的意愿和信心。</w:t>
      </w:r>
    </w:p>
    <w:p w14:paraId="7B49D2F6">
      <w:pPr>
        <w:numPr>
          <w:ilvl w:val="0"/>
          <w:numId w:val="5"/>
        </w:numPr>
        <w:tabs>
          <w:tab w:val="left" w:pos="0"/>
          <w:tab w:val="left" w:pos="840"/>
        </w:tabs>
        <w:spacing w:after="156" w:afterLines="50" w:line="360" w:lineRule="auto"/>
        <w:ind w:left="0" w:firstLine="420"/>
        <w:jc w:val="both"/>
        <w:rPr>
          <w:rFonts w:ascii="Times New Roman" w:hAnsi="Times New Roman"/>
        </w:rPr>
      </w:pPr>
      <w:r>
        <w:rPr>
          <w:rFonts w:hint="eastAsia" w:ascii="Times New Roman" w:hAnsi="Times New Roman" w:cs="Times New Roman"/>
          <w:color w:val="000000"/>
          <w:szCs w:val="27"/>
          <w:lang w:eastAsia="zh-CN"/>
        </w:rPr>
        <w:t>《</w:t>
      </w:r>
      <w:r>
        <w:rPr>
          <w:rFonts w:ascii="Times New Roman" w:hAnsi="Times New Roman" w:cs="Times New Roman"/>
          <w:color w:val="000000"/>
          <w:szCs w:val="27"/>
        </w:rPr>
        <w:t>金融法</w:t>
      </w:r>
      <w:r>
        <w:rPr>
          <w:rFonts w:hint="eastAsia" w:ascii="Times New Roman" w:hAnsi="Times New Roman" w:cs="Times New Roman"/>
          <w:color w:val="000000"/>
          <w:szCs w:val="27"/>
          <w:lang w:eastAsia="zh-CN"/>
        </w:rPr>
        <w:t>（</w:t>
      </w:r>
      <w:r>
        <w:rPr>
          <w:rFonts w:ascii="Times New Roman" w:hAnsi="Times New Roman" w:cs="Times New Roman"/>
          <w:color w:val="000000"/>
          <w:szCs w:val="27"/>
        </w:rPr>
        <w:t>草案</w:t>
      </w:r>
      <w:r>
        <w:rPr>
          <w:rFonts w:hint="eastAsia" w:ascii="Times New Roman" w:hAnsi="Times New Roman" w:cs="Times New Roman"/>
          <w:color w:val="000000"/>
          <w:szCs w:val="27"/>
          <w:lang w:eastAsia="zh-CN"/>
        </w:rPr>
        <w:t>）》</w:t>
      </w:r>
      <w:r>
        <w:rPr>
          <w:rFonts w:ascii="Times New Roman" w:hAnsi="Times New Roman" w:cs="Times New Roman"/>
          <w:color w:val="000000"/>
          <w:szCs w:val="27"/>
        </w:rPr>
        <w:t>提请全国人大常委会会议初次审议</w:t>
      </w:r>
    </w:p>
    <w:p w14:paraId="32663ECC">
      <w:pPr>
        <w:tabs>
          <w:tab w:val="left" w:pos="0"/>
          <w:tab w:val="left" w:pos="840"/>
        </w:tabs>
        <w:spacing w:after="156" w:afterLines="50" w:line="360" w:lineRule="auto"/>
        <w:ind w:firstLine="480" w:firstLineChars="200"/>
        <w:jc w:val="both"/>
        <w:rPr>
          <w:rFonts w:hint="eastAsia" w:ascii="Times New Roman" w:hAnsi="Times New Roman" w:cs="Times New Roman"/>
          <w:color w:val="000000"/>
          <w:szCs w:val="27"/>
        </w:rPr>
      </w:pPr>
      <w:r>
        <w:rPr>
          <w:rFonts w:hint="eastAsia" w:ascii="Times New Roman" w:hAnsi="Times New Roman" w:cs="Times New Roman"/>
          <w:color w:val="000000"/>
          <w:szCs w:val="27"/>
        </w:rPr>
        <w:t>6月23日，</w:t>
      </w:r>
      <w:r>
        <w:rPr>
          <w:rFonts w:ascii="Times New Roman" w:hAnsi="Times New Roman" w:cs="Times New Roman"/>
          <w:color w:val="000000"/>
          <w:szCs w:val="27"/>
        </w:rPr>
        <w:t>《中华人民共和国金融法（草案）》提请十四届全国人大常委会第二十三次会议初次审议。</w:t>
      </w:r>
      <w:r>
        <w:rPr>
          <w:rFonts w:hint="eastAsia" w:ascii="Times New Roman" w:hAnsi="Times New Roman" w:cs="Times New Roman"/>
          <w:color w:val="000000"/>
          <w:szCs w:val="27"/>
        </w:rPr>
        <w:t>在总体思路上，《金融法</w:t>
      </w:r>
      <w:r>
        <w:rPr>
          <w:rFonts w:ascii="Times New Roman" w:hAnsi="Times New Roman" w:cs="Times New Roman"/>
          <w:color w:val="000000"/>
          <w:szCs w:val="27"/>
        </w:rPr>
        <w:t>（草案）》</w:t>
      </w:r>
      <w:r>
        <w:rPr>
          <w:rFonts w:hint="eastAsia" w:ascii="Times New Roman" w:hAnsi="Times New Roman" w:cs="Times New Roman"/>
          <w:color w:val="000000"/>
          <w:szCs w:val="27"/>
        </w:rPr>
        <w:t>主要把握三点：一是突出金融工作的政治性、人民性</w:t>
      </w:r>
      <w:r>
        <w:rPr>
          <w:rFonts w:hint="eastAsia" w:ascii="Times New Roman" w:hAnsi="Times New Roman" w:cs="Times New Roman"/>
          <w:color w:val="000000"/>
          <w:szCs w:val="27"/>
          <w:lang w:eastAsia="zh-CN"/>
        </w:rPr>
        <w:t>；</w:t>
      </w:r>
      <w:r>
        <w:rPr>
          <w:rFonts w:hint="eastAsia" w:ascii="Times New Roman" w:hAnsi="Times New Roman" w:cs="Times New Roman"/>
          <w:color w:val="000000"/>
          <w:szCs w:val="27"/>
        </w:rPr>
        <w:t>二是立足金融领域基础性法律定位</w:t>
      </w:r>
      <w:r>
        <w:rPr>
          <w:rFonts w:hint="eastAsia" w:ascii="Times New Roman" w:hAnsi="Times New Roman" w:cs="Times New Roman"/>
          <w:color w:val="000000"/>
          <w:szCs w:val="27"/>
          <w:lang w:eastAsia="zh-CN"/>
        </w:rPr>
        <w:t>；</w:t>
      </w:r>
      <w:r>
        <w:rPr>
          <w:rFonts w:hint="eastAsia" w:ascii="Times New Roman" w:hAnsi="Times New Roman" w:cs="Times New Roman"/>
          <w:color w:val="000000"/>
          <w:szCs w:val="27"/>
        </w:rPr>
        <w:t>三是统筹发展和安全。《金融法</w:t>
      </w:r>
      <w:r>
        <w:rPr>
          <w:rFonts w:ascii="Times New Roman" w:hAnsi="Times New Roman" w:cs="Times New Roman"/>
          <w:color w:val="000000"/>
          <w:szCs w:val="27"/>
        </w:rPr>
        <w:t>（草案）》共11章95条</w:t>
      </w:r>
      <w:r>
        <w:rPr>
          <w:rFonts w:hint="eastAsia" w:ascii="Times New Roman" w:hAnsi="Times New Roman" w:cs="Times New Roman"/>
          <w:color w:val="000000"/>
          <w:szCs w:val="27"/>
          <w:lang w:eastAsia="zh-CN"/>
        </w:rPr>
        <w:t>，</w:t>
      </w:r>
      <w:r>
        <w:rPr>
          <w:rFonts w:hint="eastAsia" w:ascii="Times New Roman" w:hAnsi="Times New Roman" w:cs="Times New Roman"/>
          <w:color w:val="000000"/>
          <w:szCs w:val="27"/>
        </w:rPr>
        <w:t>主要内容包括明确金融工作方向性总体性要求，建设现代中央银行制度，规范金融机构行为活动，提升金融产品和服务规范性，优化金融市场体系功能，全面加强金融监管，健全金融风险处置机制，统筹金融高质量发展和安全，强化法律责任等。</w:t>
      </w:r>
    </w:p>
    <w:p w14:paraId="514AE7E4">
      <w:pPr>
        <w:tabs>
          <w:tab w:val="left" w:pos="0"/>
          <w:tab w:val="left" w:pos="840"/>
        </w:tabs>
        <w:spacing w:before="156" w:beforeLines="50" w:after="156" w:afterLines="50"/>
        <w:rPr>
          <w:rFonts w:ascii="Times New Roman" w:hAnsi="Times New Roman" w:eastAsia="黑体"/>
          <w:b/>
          <w:color w:val="FFFFFF"/>
          <w:sz w:val="32"/>
          <w:szCs w:val="32"/>
          <w:highlight w:val="blue"/>
          <w:shd w:val="clear" w:color="FFFFFF" w:fill="D9D9D9"/>
        </w:rPr>
      </w:pPr>
      <w:r>
        <w:rPr>
          <w:rFonts w:hint="eastAsia" w:ascii="Times New Roman" w:hAnsi="Times New Roman" w:eastAsia="黑体"/>
          <w:b/>
          <w:color w:val="FFFFFF"/>
          <w:sz w:val="32"/>
          <w:szCs w:val="32"/>
          <w:highlight w:val="blue"/>
          <w:shd w:val="clear" w:color="FFFFFF" w:fill="D9D9D9"/>
        </w:rPr>
        <w:t>案例评析</w:t>
      </w:r>
    </w:p>
    <w:p w14:paraId="7947A089">
      <w:pPr>
        <w:tabs>
          <w:tab w:val="left" w:pos="0"/>
          <w:tab w:val="left" w:pos="840"/>
        </w:tabs>
        <w:spacing w:after="156" w:afterLines="50" w:line="360" w:lineRule="auto"/>
        <w:ind w:firstLine="482" w:firstLineChars="200"/>
        <w:jc w:val="center"/>
        <w:rPr>
          <w:rFonts w:ascii="Times New Roman" w:hAnsi="Times New Roman"/>
          <w:b/>
          <w:bCs/>
        </w:rPr>
      </w:pPr>
      <w:r>
        <w:rPr>
          <w:rFonts w:ascii="Times New Roman" w:hAnsi="Times New Roman" w:cs="Times New Roman"/>
          <w:b/>
          <w:bCs/>
          <w:color w:val="000000"/>
          <w:szCs w:val="27"/>
        </w:rPr>
        <w:t>私募基金管理人违约失联，基金管理费是否仍需支付</w:t>
      </w:r>
    </w:p>
    <w:p w14:paraId="2258AA5A">
      <w:pPr>
        <w:numPr>
          <w:ilvl w:val="0"/>
          <w:numId w:val="6"/>
        </w:numPr>
        <w:tabs>
          <w:tab w:val="left" w:pos="0"/>
          <w:tab w:val="left" w:pos="840"/>
        </w:tabs>
        <w:spacing w:after="156" w:afterLines="50" w:line="360" w:lineRule="auto"/>
        <w:rPr>
          <w:rFonts w:ascii="Times New Roman" w:hAnsi="Times New Roman"/>
          <w:b/>
          <w:bCs/>
        </w:rPr>
      </w:pPr>
      <w:r>
        <w:rPr>
          <w:rFonts w:hint="eastAsia" w:ascii="Times New Roman" w:hAnsi="Times New Roman" w:cs="Times New Roman"/>
          <w:b/>
          <w:bCs/>
          <w:color w:val="000000"/>
          <w:szCs w:val="27"/>
        </w:rPr>
        <w:t>案情简介</w:t>
      </w:r>
    </w:p>
    <w:p w14:paraId="6DC09134">
      <w:pPr>
        <w:tabs>
          <w:tab w:val="left" w:pos="0"/>
          <w:tab w:val="left" w:pos="840"/>
        </w:tabs>
        <w:spacing w:after="156" w:afterLines="50" w:line="360" w:lineRule="auto"/>
        <w:ind w:firstLine="480" w:firstLineChars="200"/>
        <w:jc w:val="both"/>
        <w:rPr>
          <w:rFonts w:ascii="Times New Roman" w:hAnsi="Times New Roman" w:cs="Times New Roman"/>
          <w:color w:val="000000"/>
          <w:szCs w:val="27"/>
        </w:rPr>
      </w:pPr>
      <w:r>
        <w:rPr>
          <w:rFonts w:ascii="Times New Roman" w:hAnsi="Times New Roman" w:cs="Times New Roman"/>
          <w:color w:val="000000"/>
          <w:szCs w:val="27"/>
        </w:rPr>
        <w:t>2015年4月，案涉基金成立。A公司（本案第一被申请人）为基金管理人，B公司（第二被申请人）为基金托管人。基金成立后，A公司作为管理人仅于2015年4月进行了一笔投资，将全部募集资金投向其管理另一支基金，此后未进行其他资金运作。在基金存续期间，A公司从未按照《基金合同》约定报告的义务，向全体投资人履行基金净值及年报的信息披露的义务，导致全体投资人无从了解案涉基金的运作情况。后续，基金经理涉刑，但A公司也未更换基金经理，导致本基金长期处于无管理的状态。基金到期后，A公司未按合同约定成立清算小组进行清算。</w:t>
      </w:r>
    </w:p>
    <w:p w14:paraId="6B50A020">
      <w:pPr>
        <w:tabs>
          <w:tab w:val="left" w:pos="0"/>
          <w:tab w:val="left" w:pos="840"/>
        </w:tabs>
        <w:spacing w:after="156" w:afterLines="50" w:line="360" w:lineRule="auto"/>
        <w:ind w:firstLine="480" w:firstLineChars="200"/>
        <w:jc w:val="both"/>
        <w:rPr>
          <w:rFonts w:ascii="Times New Roman" w:hAnsi="Times New Roman"/>
        </w:rPr>
      </w:pPr>
      <w:r>
        <w:rPr>
          <w:rFonts w:ascii="Times New Roman" w:hAnsi="Times New Roman"/>
        </w:rPr>
        <w:t>2019年，A</w:t>
      </w:r>
      <w:r>
        <w:rPr>
          <w:rFonts w:ascii="Times New Roman" w:hAnsi="Times New Roman" w:cs="Times New Roman"/>
          <w:color w:val="000000"/>
          <w:szCs w:val="27"/>
        </w:rPr>
        <w:t>公司被列为失信被执行人</w:t>
      </w:r>
      <w:r>
        <w:rPr>
          <w:rFonts w:ascii="Times New Roman" w:hAnsi="Times New Roman"/>
        </w:rPr>
        <w:t>，处于失联或半失联状态，无法履行对本基金的管理义务，不具备管理基金的能力。基金到期5年后，部分投资人向B公司即基金托管人发函要求召开份额持有人大会，B公司未在限期内召集。其后，投资人登报发布召开会议公告，并同步通知管理人A公司及托管人B公司。后续，在公证机构现场监督下，部分投资人作为持有10%以上份额的持有人成功召集了“基金份额持有人大会”，大会决议选举部分投资人为份额持有人代表及清算小组成员，并授权其以自身名义或基金名义代表基金进行诉讼、仲裁等民事活动。该部分投资人遂依据该授权代表案涉基金提起本案仲裁。</w:t>
      </w:r>
    </w:p>
    <w:p w14:paraId="0E53FEA6">
      <w:pPr>
        <w:tabs>
          <w:tab w:val="left" w:pos="0"/>
          <w:tab w:val="left" w:pos="840"/>
        </w:tabs>
        <w:spacing w:after="156" w:afterLines="50" w:line="360" w:lineRule="auto"/>
        <w:ind w:firstLine="480" w:firstLineChars="200"/>
        <w:jc w:val="both"/>
        <w:rPr>
          <w:rFonts w:hint="eastAsia" w:ascii="Times New Roman" w:hAnsi="Times New Roman"/>
        </w:rPr>
      </w:pPr>
      <w:r>
        <w:rPr>
          <w:rFonts w:hint="eastAsia" w:ascii="Times New Roman" w:hAnsi="Times New Roman"/>
        </w:rPr>
        <w:t>申请人提出如下三项仲裁请求：</w:t>
      </w:r>
      <w:r>
        <w:rPr>
          <w:rFonts w:hint="eastAsia" w:ascii="Times New Roman" w:hAnsi="Times New Roman"/>
          <w:lang w:val="en-US" w:eastAsia="zh-CN"/>
        </w:rPr>
        <w:t>一是</w:t>
      </w:r>
      <w:r>
        <w:rPr>
          <w:rFonts w:ascii="Times New Roman" w:hAnsi="Times New Roman"/>
        </w:rPr>
        <w:t>案涉基金不再履行《基金合同》约定的支付管理费的义务，不予支付已计提未支付管理费。</w:t>
      </w:r>
      <w:r>
        <w:rPr>
          <w:rFonts w:hint="eastAsia" w:ascii="Times New Roman" w:hAnsi="Times New Roman"/>
          <w:lang w:val="en-US" w:eastAsia="zh-CN"/>
        </w:rPr>
        <w:t>二是</w:t>
      </w:r>
      <w:r>
        <w:rPr>
          <w:rFonts w:ascii="Times New Roman" w:hAnsi="Times New Roman"/>
        </w:rPr>
        <w:t>案涉基金不再履行《基金合同》约定的支付托管费的义务，不予支付已计提未支付托管费金额</w:t>
      </w:r>
      <w:r>
        <w:rPr>
          <w:rFonts w:hint="eastAsia" w:ascii="Times New Roman" w:hAnsi="Times New Roman"/>
          <w:lang w:eastAsia="zh-CN"/>
        </w:rPr>
        <w:t>。</w:t>
      </w:r>
      <w:r>
        <w:rPr>
          <w:rFonts w:hint="eastAsia" w:ascii="Times New Roman" w:hAnsi="Times New Roman"/>
          <w:lang w:val="en-US" w:eastAsia="zh-CN"/>
        </w:rPr>
        <w:t>三是</w:t>
      </w:r>
      <w:r>
        <w:rPr>
          <w:rFonts w:ascii="Times New Roman" w:hAnsi="Times New Roman"/>
        </w:rPr>
        <w:t>A公司承担本案仲裁费及律师费。</w:t>
      </w:r>
    </w:p>
    <w:p w14:paraId="1EEC4FEA">
      <w:pPr>
        <w:numPr>
          <w:ilvl w:val="0"/>
          <w:numId w:val="6"/>
        </w:numPr>
        <w:tabs>
          <w:tab w:val="left" w:pos="0"/>
          <w:tab w:val="left" w:pos="840"/>
        </w:tabs>
        <w:spacing w:after="156" w:afterLines="50" w:line="360" w:lineRule="auto"/>
        <w:rPr>
          <w:rFonts w:ascii="Times New Roman" w:hAnsi="Times New Roman"/>
          <w:b/>
          <w:bCs/>
        </w:rPr>
      </w:pPr>
      <w:r>
        <w:rPr>
          <w:rFonts w:ascii="Times New Roman" w:hAnsi="Times New Roman" w:cs="Times New Roman"/>
          <w:b/>
          <w:bCs/>
          <w:color w:val="000000"/>
          <w:szCs w:val="27"/>
        </w:rPr>
        <w:t>案件焦点</w:t>
      </w:r>
    </w:p>
    <w:p w14:paraId="402BCB47">
      <w:pPr>
        <w:tabs>
          <w:tab w:val="left" w:pos="0"/>
          <w:tab w:val="left" w:pos="840"/>
        </w:tabs>
        <w:spacing w:after="156" w:afterLines="50" w:line="360" w:lineRule="auto"/>
        <w:ind w:firstLine="480" w:firstLineChars="200"/>
        <w:jc w:val="both"/>
        <w:rPr>
          <w:rFonts w:ascii="Times New Roman" w:hAnsi="Times New Roman"/>
        </w:rPr>
      </w:pPr>
      <w:r>
        <w:rPr>
          <w:rFonts w:ascii="Times New Roman" w:hAnsi="Times New Roman" w:cs="Times New Roman"/>
          <w:color w:val="000000"/>
          <w:szCs w:val="27"/>
        </w:rPr>
        <w:t>部分投资人代表是否有权代表案涉基金提起本案仲裁；A公司作为基金管理人严重违约，是否足以致案涉基金无需支付已计提的管理费；B公司作为基金托管人是否存在未履行托管义务的情形，以致案涉基金无需支付托管费。</w:t>
      </w:r>
    </w:p>
    <w:p w14:paraId="5751094B">
      <w:pPr>
        <w:numPr>
          <w:ilvl w:val="0"/>
          <w:numId w:val="6"/>
        </w:numPr>
        <w:tabs>
          <w:tab w:val="left" w:pos="0"/>
          <w:tab w:val="left" w:pos="840"/>
        </w:tabs>
        <w:spacing w:after="156" w:afterLines="50" w:line="360" w:lineRule="auto"/>
        <w:rPr>
          <w:rFonts w:ascii="Times New Roman" w:hAnsi="Times New Roman"/>
          <w:b/>
          <w:bCs/>
        </w:rPr>
      </w:pPr>
      <w:r>
        <w:rPr>
          <w:rFonts w:ascii="Times New Roman" w:hAnsi="Times New Roman" w:cs="Times New Roman"/>
          <w:b/>
          <w:bCs/>
          <w:color w:val="000000"/>
          <w:szCs w:val="27"/>
        </w:rPr>
        <w:t>裁判要旨</w:t>
      </w:r>
    </w:p>
    <w:p w14:paraId="19F1EC7D">
      <w:pPr>
        <w:tabs>
          <w:tab w:val="left" w:pos="0"/>
          <w:tab w:val="left" w:pos="840"/>
        </w:tabs>
        <w:spacing w:after="156" w:afterLines="50" w:line="360" w:lineRule="auto"/>
        <w:ind w:firstLine="482" w:firstLineChars="200"/>
        <w:jc w:val="both"/>
        <w:rPr>
          <w:rFonts w:ascii="Times New Roman" w:hAnsi="Times New Roman" w:cs="Times New Roman"/>
          <w:color w:val="000000"/>
          <w:szCs w:val="27"/>
        </w:rPr>
      </w:pPr>
      <w:r>
        <w:rPr>
          <w:rFonts w:ascii="Times New Roman" w:hAnsi="Times New Roman" w:cs="Times New Roman"/>
          <w:b/>
          <w:bCs/>
          <w:color w:val="000000"/>
          <w:szCs w:val="27"/>
        </w:rPr>
        <w:t>关于申请人主体资格。</w:t>
      </w:r>
      <w:r>
        <w:rPr>
          <w:rFonts w:ascii="Times New Roman" w:hAnsi="Times New Roman" w:cs="Times New Roman"/>
          <w:color w:val="000000"/>
          <w:szCs w:val="27"/>
        </w:rPr>
        <w:t>仲裁庭认为，在A公司作为管理人怠于履职、基金无法正常终止清算的情况下，案涉基金的份额持有人可参照适用《基金法》中有关公募基金关于基金份额持有人大会的规定，依法召集份额持有人大会并做出相应的决议，符合信托关系本质。申请人已履行向托管人B公司发函、公告等前置程序后自行召集会议，会议在公证机构监督下召开，表决程序及结果符合《基金合同》及参照适用的《证券投资基金法》相关规定，案涉基金份额持有人大会会议召开程序合法有效，其决议对全体份额持有人、基金管理人及基金托管人均具有法律约束力。由基金份额持有人代表提起仲裁不违反法律规定，符合契约型私募基金、基金份额持有人大会的主体特性及行权需要，符合基金及投资人的整体利益，因此，申请人具备代表案涉基金提起本案仲裁的正当主体资格。</w:t>
      </w:r>
    </w:p>
    <w:p w14:paraId="097DA59C">
      <w:pPr>
        <w:tabs>
          <w:tab w:val="left" w:pos="0"/>
          <w:tab w:val="left" w:pos="840"/>
        </w:tabs>
        <w:spacing w:after="156" w:afterLines="50" w:line="360" w:lineRule="auto"/>
        <w:ind w:firstLine="482" w:firstLineChars="200"/>
        <w:jc w:val="both"/>
        <w:rPr>
          <w:rFonts w:ascii="Times New Roman" w:hAnsi="Times New Roman" w:cs="Times New Roman"/>
          <w:color w:val="000000"/>
          <w:szCs w:val="27"/>
        </w:rPr>
      </w:pPr>
      <w:r>
        <w:rPr>
          <w:rFonts w:ascii="Times New Roman" w:hAnsi="Times New Roman" w:cs="Times New Roman"/>
          <w:b/>
          <w:bCs/>
          <w:color w:val="000000"/>
          <w:szCs w:val="27"/>
        </w:rPr>
        <w:t>关于不再支付管理费。</w:t>
      </w:r>
      <w:r>
        <w:rPr>
          <w:rFonts w:ascii="Times New Roman" w:hAnsi="Times New Roman" w:cs="Times New Roman"/>
          <w:color w:val="000000"/>
          <w:szCs w:val="27"/>
        </w:rPr>
        <w:t>仲裁庭认为，根据相关法律规定等，案涉基金当事人构成信托法律关系，投资人作为案涉基金的委托人，管理人、托管人为职责独立的双受托人。第一被申请人作为管理人存在违反合同约定的投资策略、实质改变案涉基金投资风险特征，放任基金风险，且在基金到期后长期怠于清算、其实际控制人及基金经理涉刑、公司内部管理混乱且被列为失信被执行人、经营异常等诸多严重违约、违规行为，未按照诚实信用、勤勉尽责的原则管理和运用基金财产，维护基金份额持有人的利益，其行为与案涉基金遭受巨大投资损失具有相当因果关系，动摇了基金管理费支付的合同基础与公平对价原则，丧失了收取管理费的事实及法律基础。因此，结合份额持有人大会决议内容，仲裁庭对案涉基金不再支付尚未支付的管理费的请求予以支持，该等管理费应退回基金财产，由案涉基金清算小组予以处理。</w:t>
      </w:r>
    </w:p>
    <w:p w14:paraId="34C8919C">
      <w:pPr>
        <w:tabs>
          <w:tab w:val="left" w:pos="0"/>
          <w:tab w:val="left" w:pos="840"/>
        </w:tabs>
        <w:spacing w:after="156" w:afterLines="50" w:line="360" w:lineRule="auto"/>
        <w:ind w:firstLine="482" w:firstLineChars="200"/>
        <w:jc w:val="both"/>
        <w:rPr>
          <w:rFonts w:hint="eastAsia" w:ascii="Times New Roman" w:hAnsi="Times New Roman"/>
        </w:rPr>
      </w:pPr>
      <w:r>
        <w:rPr>
          <w:rFonts w:ascii="Times New Roman" w:hAnsi="Times New Roman"/>
          <w:b/>
          <w:bCs/>
        </w:rPr>
        <w:t>关于不再支付托管费。</w:t>
      </w:r>
      <w:r>
        <w:rPr>
          <w:rFonts w:ascii="Times New Roman" w:hAnsi="Times New Roman"/>
        </w:rPr>
        <w:t>仲裁庭认为，《基金合同》明确约定了基金托管人即B公司的多项义务，经对其实际履约情况审查，申请人并未提出并证明B公司存在未履行该等义务中任何一项或数项义务的情形，故申请人的该项仲裁请求缺乏事实依据，不予支持。</w:t>
      </w:r>
    </w:p>
    <w:p w14:paraId="534841BB">
      <w:pPr>
        <w:numPr>
          <w:ilvl w:val="0"/>
          <w:numId w:val="6"/>
        </w:numPr>
        <w:tabs>
          <w:tab w:val="left" w:pos="0"/>
          <w:tab w:val="left" w:pos="840"/>
        </w:tabs>
        <w:spacing w:after="156" w:afterLines="50" w:line="360" w:lineRule="auto"/>
        <w:rPr>
          <w:rFonts w:ascii="Times New Roman" w:hAnsi="Times New Roman"/>
          <w:b/>
          <w:bCs/>
        </w:rPr>
      </w:pPr>
      <w:r>
        <w:rPr>
          <w:rFonts w:hint="eastAsia" w:ascii="Times New Roman" w:hAnsi="Times New Roman" w:cs="Times New Roman"/>
          <w:b/>
          <w:bCs/>
          <w:color w:val="000000"/>
          <w:szCs w:val="27"/>
        </w:rPr>
        <w:t>案件评析</w:t>
      </w:r>
    </w:p>
    <w:p w14:paraId="7826101A">
      <w:pPr>
        <w:tabs>
          <w:tab w:val="left" w:pos="0"/>
          <w:tab w:val="left" w:pos="840"/>
        </w:tabs>
        <w:spacing w:after="156" w:afterLines="50" w:line="360" w:lineRule="auto"/>
        <w:ind w:firstLine="480" w:firstLineChars="200"/>
        <w:jc w:val="both"/>
        <w:rPr>
          <w:rFonts w:ascii="Times New Roman" w:hAnsi="Times New Roman"/>
        </w:rPr>
      </w:pPr>
      <w:r>
        <w:rPr>
          <w:rFonts w:ascii="Times New Roman" w:hAnsi="Times New Roman" w:cs="Times New Roman"/>
          <w:color w:val="000000"/>
          <w:szCs w:val="27"/>
        </w:rPr>
        <w:t>本案是一起典型的契约型私募基金合同纠纷，核心围绕管理人在严重违约、失联、怠于履职的情况下，基金份额持有人能否通过自行召集持有人大会并代表基金提起仲裁，以及基金是否有权不再支付已计提未支付的管理费等问题展开。仲裁庭的裁决在一定程度上回应了私募基金治理中的现实困境，具有重要的法律与实践意义。</w:t>
      </w:r>
    </w:p>
    <w:p w14:paraId="48F9ADF0">
      <w:pPr>
        <w:spacing w:before="156" w:beforeLines="50" w:line="360" w:lineRule="auto"/>
        <w:ind w:firstLine="420" w:firstLineChars="200"/>
      </w:pPr>
      <w:r>
        <w:rPr>
          <w:rFonts w:ascii="Times New Roman" w:hAnsi="Times New Roman"/>
          <w:i/>
          <w:iCs/>
          <w:sz w:val="21"/>
          <w:szCs w:val="21"/>
        </w:rPr>
        <w:t>以上内容整理自</w:t>
      </w:r>
      <w:r>
        <w:rPr>
          <w:rFonts w:hint="eastAsia" w:ascii="Times New Roman" w:hAnsi="Times New Roman"/>
          <w:i/>
          <w:iCs/>
          <w:sz w:val="21"/>
          <w:szCs w:val="21"/>
        </w:rPr>
        <w:t>上海仲裁委员会上海国际仲裁学院官网发布的仲裁案例。</w:t>
      </w:r>
    </w:p>
    <w:sectPr>
      <w:footerReference r:id="rId5" w:type="first"/>
      <w:footerReference r:id="rId4" w:type="default"/>
      <w:pgSz w:w="11906" w:h="16838"/>
      <w:pgMar w:top="1440" w:right="1417" w:bottom="1440" w:left="1417" w:header="851" w:footer="992"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Times New Roman Bold">
    <w:altName w:val="Times New Roman"/>
    <w:panose1 w:val="020B0604020202020204"/>
    <w:charset w:val="00"/>
    <w:family w:val="auto"/>
    <w:pitch w:val="default"/>
    <w:sig w:usb0="00000000" w:usb1="00000000" w:usb2="00000001" w:usb3="00000000" w:csb0="400001BF" w:csb1="DF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19570">
    <w:pPr>
      <w:pStyle w:val="5"/>
      <w:jc w:val="center"/>
      <w:rPr>
        <w:rFonts w:ascii="Times New Roman" w:hAnsi="Times New Roman" w:eastAsia="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5C8B8">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81C775">
    <w:pPr>
      <w:pStyle w:val="5"/>
      <w:rPr>
        <w:rFonts w:ascii="Times New Roman" w:hAnsi="Times New Roman" w:eastAsia="宋体"/>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9B71F3"/>
    <w:multiLevelType w:val="singleLevel"/>
    <w:tmpl w:val="D79B71F3"/>
    <w:lvl w:ilvl="0" w:tentative="0">
      <w:start w:val="1"/>
      <w:numFmt w:val="bullet"/>
      <w:lvlText w:val=""/>
      <w:lvlJc w:val="left"/>
      <w:pPr>
        <w:ind w:left="420" w:hanging="420"/>
      </w:pPr>
      <w:rPr>
        <w:rFonts w:hint="default" w:ascii="Wingdings" w:hAnsi="Wingdings"/>
      </w:rPr>
    </w:lvl>
  </w:abstractNum>
  <w:abstractNum w:abstractNumId="1">
    <w:nsid w:val="E7FF331B"/>
    <w:multiLevelType w:val="singleLevel"/>
    <w:tmpl w:val="E7FF331B"/>
    <w:lvl w:ilvl="0" w:tentative="0">
      <w:start w:val="1"/>
      <w:numFmt w:val="bullet"/>
      <w:lvlText w:val=""/>
      <w:lvlJc w:val="left"/>
      <w:pPr>
        <w:ind w:left="420" w:hanging="420"/>
      </w:pPr>
      <w:rPr>
        <w:rFonts w:hint="default" w:ascii="Wingdings" w:hAnsi="Wingdings"/>
      </w:rPr>
    </w:lvl>
  </w:abstractNum>
  <w:abstractNum w:abstractNumId="2">
    <w:nsid w:val="F79C6A97"/>
    <w:multiLevelType w:val="singleLevel"/>
    <w:tmpl w:val="F79C6A97"/>
    <w:lvl w:ilvl="0" w:tentative="0">
      <w:start w:val="1"/>
      <w:numFmt w:val="bullet"/>
      <w:lvlText w:val=""/>
      <w:lvlJc w:val="left"/>
      <w:pPr>
        <w:ind w:left="420" w:hanging="420"/>
      </w:pPr>
      <w:rPr>
        <w:rFonts w:hint="default" w:ascii="Wingdings" w:hAnsi="Wingdings"/>
      </w:rPr>
    </w:lvl>
  </w:abstractNum>
  <w:abstractNum w:abstractNumId="3">
    <w:nsid w:val="FBDA7D2A"/>
    <w:multiLevelType w:val="singleLevel"/>
    <w:tmpl w:val="FBDA7D2A"/>
    <w:lvl w:ilvl="0" w:tentative="0">
      <w:start w:val="1"/>
      <w:numFmt w:val="bullet"/>
      <w:lvlText w:val=""/>
      <w:lvlJc w:val="left"/>
      <w:pPr>
        <w:ind w:left="420" w:hanging="420"/>
      </w:pPr>
      <w:rPr>
        <w:rFonts w:hint="default" w:ascii="Wingdings" w:hAnsi="Wingdings"/>
      </w:rPr>
    </w:lvl>
  </w:abstractNum>
  <w:abstractNum w:abstractNumId="4">
    <w:nsid w:val="0000000D"/>
    <w:multiLevelType w:val="singleLevel"/>
    <w:tmpl w:val="0000000D"/>
    <w:lvl w:ilvl="0" w:tentative="0">
      <w:start w:val="1"/>
      <w:numFmt w:val="decimal"/>
      <w:suff w:val="nothing"/>
      <w:lvlText w:val="（%1）"/>
      <w:lvlJc w:val="left"/>
      <w:rPr>
        <w:rFonts w:hint="default"/>
        <w:b w:val="0"/>
        <w:bCs w:val="0"/>
        <w:sz w:val="24"/>
        <w:szCs w:val="24"/>
      </w:rPr>
    </w:lvl>
  </w:abstractNum>
  <w:abstractNum w:abstractNumId="5">
    <w:nsid w:val="7531B948"/>
    <w:multiLevelType w:val="singleLevel"/>
    <w:tmpl w:val="7531B948"/>
    <w:lvl w:ilvl="0" w:tentative="0">
      <w:start w:val="1"/>
      <w:numFmt w:val="bullet"/>
      <w:lvlText w:val=""/>
      <w:lvlJc w:val="left"/>
      <w:pPr>
        <w:ind w:left="420" w:hanging="420"/>
      </w:pPr>
      <w:rPr>
        <w:rFonts w:hint="default" w:ascii="Wingdings" w:hAnsi="Wingdings"/>
      </w:rPr>
    </w:lvl>
  </w:abstractNum>
  <w:num w:numId="1">
    <w:abstractNumId w:val="1"/>
  </w:num>
  <w:num w:numId="2">
    <w:abstractNumId w:val="4"/>
  </w:num>
  <w:num w:numId="3">
    <w:abstractNumId w:val="0"/>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FEF740F6"/>
    <w:rsid w:val="000021EA"/>
    <w:rsid w:val="00087E14"/>
    <w:rsid w:val="0009427A"/>
    <w:rsid w:val="000D1767"/>
    <w:rsid w:val="000E2747"/>
    <w:rsid w:val="001E3B29"/>
    <w:rsid w:val="002250AA"/>
    <w:rsid w:val="0025187C"/>
    <w:rsid w:val="002A6F0B"/>
    <w:rsid w:val="002A78DF"/>
    <w:rsid w:val="002F7045"/>
    <w:rsid w:val="00383A3D"/>
    <w:rsid w:val="003D0896"/>
    <w:rsid w:val="003F6D85"/>
    <w:rsid w:val="00413374"/>
    <w:rsid w:val="004D5047"/>
    <w:rsid w:val="00515A69"/>
    <w:rsid w:val="005228A8"/>
    <w:rsid w:val="00565916"/>
    <w:rsid w:val="005A6DCD"/>
    <w:rsid w:val="0066007F"/>
    <w:rsid w:val="00753088"/>
    <w:rsid w:val="007B62D6"/>
    <w:rsid w:val="008600CB"/>
    <w:rsid w:val="0088154E"/>
    <w:rsid w:val="008F5185"/>
    <w:rsid w:val="009B5C27"/>
    <w:rsid w:val="00AB1421"/>
    <w:rsid w:val="00AC6348"/>
    <w:rsid w:val="00AE03B6"/>
    <w:rsid w:val="00B971FD"/>
    <w:rsid w:val="00C47536"/>
    <w:rsid w:val="00CC3285"/>
    <w:rsid w:val="00D46BE9"/>
    <w:rsid w:val="00E6093B"/>
    <w:rsid w:val="00EA7EBC"/>
    <w:rsid w:val="00EB161D"/>
    <w:rsid w:val="00F46829"/>
    <w:rsid w:val="00FE2DD8"/>
    <w:rsid w:val="025751E3"/>
    <w:rsid w:val="043B10FF"/>
    <w:rsid w:val="0B865355"/>
    <w:rsid w:val="1ADA70F7"/>
    <w:rsid w:val="251A25EA"/>
    <w:rsid w:val="2CAE2EFC"/>
    <w:rsid w:val="2F1743DB"/>
    <w:rsid w:val="30984245"/>
    <w:rsid w:val="31877F6E"/>
    <w:rsid w:val="34CA1662"/>
    <w:rsid w:val="36C50CA2"/>
    <w:rsid w:val="36E5561F"/>
    <w:rsid w:val="40C916D7"/>
    <w:rsid w:val="422875CB"/>
    <w:rsid w:val="46072613"/>
    <w:rsid w:val="4A5A11BC"/>
    <w:rsid w:val="4CC96874"/>
    <w:rsid w:val="52886B9F"/>
    <w:rsid w:val="57555BD4"/>
    <w:rsid w:val="5B934902"/>
    <w:rsid w:val="6E082F0C"/>
    <w:rsid w:val="6F213E96"/>
    <w:rsid w:val="75EA07A0"/>
    <w:rsid w:val="77DF044B"/>
    <w:rsid w:val="7990257F"/>
    <w:rsid w:val="7A4939B6"/>
    <w:rsid w:val="7AF620FE"/>
    <w:rsid w:val="7D891584"/>
    <w:rsid w:val="7F7BF484"/>
    <w:rsid w:val="BEFFCEEB"/>
    <w:rsid w:val="FEF740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宋体" w:hAnsi="宋体" w:eastAsia="宋体" w:cs="宋体"/>
      <w:sz w:val="24"/>
      <w:szCs w:val="24"/>
      <w:lang w:val="en-US" w:eastAsia="zh-CN" w:bidi="ar-SA"/>
    </w:rPr>
  </w:style>
  <w:style w:type="paragraph" w:styleId="2">
    <w:name w:val="heading 2"/>
    <w:basedOn w:val="1"/>
    <w:next w:val="1"/>
    <w:semiHidden/>
    <w:unhideWhenUsed/>
    <w:qFormat/>
    <w:uiPriority w:val="0"/>
    <w:pPr>
      <w:widowControl w:val="0"/>
      <w:spacing w:beforeAutospacing="1" w:afterAutospacing="1"/>
      <w:outlineLvl w:val="1"/>
    </w:pPr>
    <w:rPr>
      <w:rFonts w:hint="eastAsia" w:cs="Times New Roman"/>
      <w:b/>
      <w:bCs/>
      <w:color w:val="000000"/>
      <w:sz w:val="36"/>
      <w:szCs w:val="36"/>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4"/>
    <w:qFormat/>
    <w:uiPriority w:val="0"/>
    <w:pPr>
      <w:widowControl w:val="0"/>
    </w:pPr>
    <w:rPr>
      <w:rFonts w:ascii="楷体_GB2312" w:eastAsia="楷体_GB2312" w:cs="Times New Roman"/>
      <w:color w:val="000000"/>
      <w:kern w:val="2"/>
      <w:szCs w:val="27"/>
    </w:rPr>
  </w:style>
  <w:style w:type="paragraph" w:styleId="4">
    <w:name w:val="Body Text"/>
    <w:basedOn w:val="1"/>
    <w:qFormat/>
    <w:uiPriority w:val="0"/>
    <w:pPr>
      <w:widowControl w:val="0"/>
      <w:spacing w:after="120"/>
      <w:jc w:val="both"/>
    </w:pPr>
    <w:rPr>
      <w:rFonts w:ascii="楷体_GB2312" w:eastAsia="楷体_GB2312" w:cs="Times New Roman"/>
      <w:color w:val="000000"/>
      <w:kern w:val="2"/>
      <w:szCs w:val="27"/>
    </w:rPr>
  </w:style>
  <w:style w:type="paragraph" w:styleId="5">
    <w:name w:val="footer"/>
    <w:basedOn w:val="1"/>
    <w:qFormat/>
    <w:uiPriority w:val="0"/>
    <w:pPr>
      <w:widowControl w:val="0"/>
      <w:tabs>
        <w:tab w:val="center" w:pos="4153"/>
        <w:tab w:val="right" w:pos="8306"/>
      </w:tabs>
      <w:snapToGrid w:val="0"/>
    </w:pPr>
    <w:rPr>
      <w:rFonts w:ascii="楷体_GB2312" w:eastAsia="楷体_GB2312" w:cs="Times New Roman"/>
      <w:color w:val="000000"/>
      <w:kern w:val="2"/>
      <w:sz w:val="18"/>
      <w:szCs w:val="18"/>
    </w:rPr>
  </w:style>
  <w:style w:type="paragraph" w:styleId="6">
    <w:name w:val="Normal (Web)"/>
    <w:basedOn w:val="1"/>
    <w:qFormat/>
    <w:uiPriority w:val="99"/>
  </w:style>
  <w:style w:type="paragraph" w:styleId="7">
    <w:name w:val="annotation subject"/>
    <w:basedOn w:val="3"/>
    <w:next w:val="3"/>
    <w:link w:val="15"/>
    <w:uiPriority w:val="0"/>
    <w:pPr>
      <w:widowControl/>
    </w:pPr>
    <w:rPr>
      <w:rFonts w:ascii="宋体" w:eastAsia="宋体" w:cs="宋体"/>
      <w:b/>
      <w:bCs/>
      <w:color w:val="auto"/>
      <w:kern w:val="0"/>
      <w:szCs w:val="24"/>
    </w:rPr>
  </w:style>
  <w:style w:type="character" w:styleId="10">
    <w:name w:val="Hyperlink"/>
    <w:qFormat/>
    <w:uiPriority w:val="0"/>
    <w:rPr>
      <w:color w:val="0000FF"/>
      <w:u w:val="single"/>
    </w:rPr>
  </w:style>
  <w:style w:type="character" w:styleId="11">
    <w:name w:val="annotation reference"/>
    <w:basedOn w:val="9"/>
    <w:qFormat/>
    <w:uiPriority w:val="0"/>
    <w:rPr>
      <w:sz w:val="21"/>
      <w:szCs w:val="21"/>
    </w:rPr>
  </w:style>
  <w:style w:type="paragraph" w:customStyle="1" w:styleId="12">
    <w:name w:val="p1"/>
    <w:basedOn w:val="1"/>
    <w:qFormat/>
    <w:uiPriority w:val="0"/>
    <w:pPr>
      <w:widowControl w:val="0"/>
    </w:pPr>
    <w:rPr>
      <w:rFonts w:ascii="Times New Roman" w:hAnsi="Times New Roman" w:eastAsia="楷体_GB2312" w:cs="Times New Roman"/>
      <w:color w:val="000000"/>
    </w:rPr>
  </w:style>
  <w:style w:type="paragraph" w:customStyle="1" w:styleId="13">
    <w:name w:val="Revision"/>
    <w:hidden/>
    <w:unhideWhenUsed/>
    <w:qFormat/>
    <w:uiPriority w:val="99"/>
    <w:rPr>
      <w:rFonts w:ascii="楷体_GB2312" w:hAnsi="宋体" w:eastAsia="楷体_GB2312" w:cs="Times New Roman"/>
      <w:color w:val="000000"/>
      <w:kern w:val="2"/>
      <w:sz w:val="24"/>
      <w:szCs w:val="27"/>
      <w:lang w:val="en-US" w:eastAsia="zh-CN" w:bidi="ar-SA"/>
    </w:rPr>
  </w:style>
  <w:style w:type="character" w:customStyle="1" w:styleId="14">
    <w:name w:val="批注文字 字符"/>
    <w:basedOn w:val="9"/>
    <w:link w:val="3"/>
    <w:uiPriority w:val="0"/>
    <w:rPr>
      <w:rFonts w:ascii="楷体_GB2312" w:hAnsi="宋体" w:eastAsia="楷体_GB2312"/>
      <w:color w:val="000000"/>
      <w:kern w:val="2"/>
      <w:sz w:val="24"/>
      <w:szCs w:val="27"/>
    </w:rPr>
  </w:style>
  <w:style w:type="character" w:customStyle="1" w:styleId="15">
    <w:name w:val="批注主题 字符"/>
    <w:basedOn w:val="14"/>
    <w:link w:val="7"/>
    <w:uiPriority w:val="0"/>
    <w:rPr>
      <w:rFonts w:ascii="宋体" w:hAnsi="宋体" w:eastAsia="楷体_GB2312" w:cs="宋体"/>
      <w:b/>
      <w:bCs/>
      <w:color w:val="000000"/>
      <w:kern w:val="2"/>
      <w:sz w:val="24"/>
      <w:szCs w:val="24"/>
    </w:rPr>
  </w:style>
  <w:style w:type="paragraph" w:styleId="16">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5873</Words>
  <Characters>6652</Characters>
  <Lines>53</Lines>
  <Paragraphs>14</Paragraphs>
  <TotalTime>17</TotalTime>
  <ScaleCrop>false</ScaleCrop>
  <LinksUpToDate>false</LinksUpToDate>
  <CharactersWithSpaces>6675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2026-07-01T02:29:00Z</dcterms:created>
  <dc:creator>周一琳</dc:creator>
  <cp:lastModifiedBy>panxl</cp:lastModifiedBy>
  <dcterms:modified xsi:type="dcterms:W3CDTF">2026-07-02T08:54:04Z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64816D54CD5B261CA5C7F66938324070_41</vt:lpwstr>
  </property>
  <property fmtid="{D5CDD505-2E9C-101B-9397-08002B2CF9AE}" pid="4" name="KSOTemplateDocerSaveRecord">
    <vt:lpwstr>eyJoZGlkIjoiODFjMmZlOThhNjIxMWYyZmUxM2RmMmZmODllYTc0NDEiLCJ1c2VySWQiOiIyNDE2MDI5MTkifQ==</vt:lpwstr>
  </property>
</Properties>
</file>