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ascii="黑体" w:hAnsi="黑体" w:eastAsia="黑体" w:cs="黑体"/>
          <w:sz w:val="36"/>
          <w:szCs w:val="36"/>
        </w:rPr>
      </w:pPr>
      <w:r>
        <w:rPr>
          <w:rFonts w:hint="eastAsia" w:ascii="黑体" w:hAnsi="黑体" w:eastAsia="黑体" w:cs="黑体"/>
          <w:sz w:val="36"/>
          <w:szCs w:val="36"/>
        </w:rPr>
        <w:t>大连市律师协会《律师代理</w:t>
      </w:r>
      <w:r>
        <w:rPr>
          <w:rFonts w:hint="eastAsia" w:ascii="黑体" w:hAnsi="黑体" w:eastAsia="黑体" w:cs="黑体"/>
          <w:sz w:val="36"/>
          <w:szCs w:val="36"/>
          <w:lang w:val="en-US" w:eastAsia="zh-CN"/>
        </w:rPr>
        <w:t>破产</w:t>
      </w:r>
      <w:r>
        <w:rPr>
          <w:rFonts w:hint="eastAsia" w:ascii="黑体" w:hAnsi="黑体" w:eastAsia="黑体" w:cs="黑体"/>
          <w:sz w:val="36"/>
          <w:szCs w:val="36"/>
        </w:rPr>
        <w:t>债权申报业务操作指引（征求意见稿）》起草依据对照表</w:t>
      </w:r>
    </w:p>
    <w:tbl>
      <w:tblPr>
        <w:tblStyle w:val="10"/>
        <w:tblW w:w="14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7"/>
        <w:gridCol w:w="7898"/>
        <w:gridCol w:w="3058"/>
      </w:tblGrid>
      <w:tr>
        <w:tc>
          <w:tcPr>
            <w:tcW w:w="3567" w:type="dxa"/>
            <w:shd w:val="clear" w:color="auto" w:fill="DBE3F4" w:themeFill="accent1" w:themeFillTint="32"/>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条文</w:t>
            </w:r>
          </w:p>
        </w:tc>
        <w:tc>
          <w:tcPr>
            <w:tcW w:w="7898" w:type="dxa"/>
            <w:shd w:val="clear" w:color="auto" w:fill="DBE3F4" w:themeFill="accent1" w:themeFillTint="32"/>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依据</w:t>
            </w:r>
          </w:p>
        </w:tc>
        <w:tc>
          <w:tcPr>
            <w:tcW w:w="3058" w:type="dxa"/>
            <w:shd w:val="clear" w:color="auto" w:fill="DBE3F4" w:themeFill="accent1" w:themeFillTint="32"/>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1465" w:type="dxa"/>
            <w:gridSpan w:val="2"/>
            <w:shd w:val="clear" w:color="auto" w:fill="DBE3F4" w:themeFill="accent1" w:themeFillTint="32"/>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2610" w:rightChars="-1243" w:firstLine="0" w:firstLineChars="0"/>
              <w:jc w:val="center"/>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b/>
                <w:bCs/>
                <w:kern w:val="2"/>
                <w:sz w:val="28"/>
                <w:szCs w:val="28"/>
                <w:vertAlign w:val="baseline"/>
                <w:lang w:val="en-US" w:eastAsia="zh-CN" w:bidi="ar-SA"/>
              </w:rPr>
              <w:t>第一章 总则</w:t>
            </w:r>
          </w:p>
        </w:tc>
        <w:tc>
          <w:tcPr>
            <w:tcW w:w="3058" w:type="dxa"/>
            <w:shd w:val="clear" w:color="auto" w:fill="DBE3F4" w:themeFill="accent1" w:themeFillTint="32"/>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i w:val="0"/>
                <w:iCs w:val="0"/>
                <w:caps w:val="0"/>
                <w:color w:val="404040"/>
                <w:spacing w:val="0"/>
                <w:sz w:val="28"/>
                <w:szCs w:val="28"/>
                <w:lang w:val="en-US" w:eastAsia="zh-CN"/>
              </w:rPr>
              <w:t xml:space="preserve">1.1 </w:t>
            </w:r>
            <w:r>
              <w:rPr>
                <w:rFonts w:hint="eastAsia" w:asciiTheme="minorEastAsia" w:hAnsiTheme="minorEastAsia" w:eastAsiaTheme="minorEastAsia" w:cstheme="minorEastAsia"/>
                <w:sz w:val="28"/>
                <w:szCs w:val="28"/>
              </w:rPr>
              <w:t>为规范</w:t>
            </w:r>
            <w:r>
              <w:rPr>
                <w:rFonts w:hint="eastAsia" w:asciiTheme="minorEastAsia" w:hAnsiTheme="minorEastAsia" w:eastAsiaTheme="minorEastAsia" w:cstheme="minorEastAsia"/>
                <w:sz w:val="28"/>
                <w:szCs w:val="28"/>
                <w:lang w:val="en-US" w:eastAsia="zh-CN"/>
              </w:rPr>
              <w:t>大连市</w:t>
            </w:r>
            <w:r>
              <w:rPr>
                <w:rFonts w:hint="eastAsia" w:asciiTheme="minorEastAsia" w:hAnsiTheme="minorEastAsia" w:eastAsiaTheme="minorEastAsia" w:cstheme="minorEastAsia"/>
                <w:sz w:val="28"/>
                <w:szCs w:val="28"/>
              </w:rPr>
              <w:t>律师接受债权人委托</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代理破产债权申报业务，指导律师依法、审慎、高效地履行代理职责，维护</w:t>
            </w:r>
            <w:r>
              <w:rPr>
                <w:rFonts w:hint="eastAsia" w:asciiTheme="minorEastAsia" w:hAnsiTheme="minorEastAsia" w:eastAsiaTheme="minorEastAsia" w:cstheme="minorEastAsia"/>
                <w:sz w:val="28"/>
                <w:szCs w:val="28"/>
                <w:lang w:val="en-US" w:eastAsia="zh-CN"/>
              </w:rPr>
              <w:t>委托人</w:t>
            </w:r>
            <w:r>
              <w:rPr>
                <w:rFonts w:hint="eastAsia" w:asciiTheme="minorEastAsia" w:hAnsiTheme="minorEastAsia" w:eastAsiaTheme="minorEastAsia" w:cstheme="minorEastAsia"/>
                <w:sz w:val="28"/>
                <w:szCs w:val="28"/>
              </w:rPr>
              <w:t>的合法权益，保障破产程序的顺利推进，依据《中华人民共和国企业破产法》</w:t>
            </w:r>
            <w:r>
              <w:rPr>
                <w:rFonts w:hint="eastAsia" w:asciiTheme="minorEastAsia" w:hAnsiTheme="minorEastAsia" w:eastAsiaTheme="minorEastAsia" w:cstheme="minorEastAsia"/>
                <w:sz w:val="28"/>
                <w:szCs w:val="28"/>
                <w:lang w:val="en-US" w:eastAsia="zh-CN"/>
              </w:rPr>
              <w:t>及相关法律、法规和</w:t>
            </w:r>
            <w:r>
              <w:rPr>
                <w:rFonts w:hint="eastAsia" w:asciiTheme="minorEastAsia" w:hAnsiTheme="minorEastAsia" w:eastAsiaTheme="minorEastAsia" w:cstheme="minorEastAsia"/>
                <w:sz w:val="28"/>
                <w:szCs w:val="28"/>
              </w:rPr>
              <w:t>司法解释</w:t>
            </w:r>
            <w:r>
              <w:rPr>
                <w:rFonts w:hint="eastAsia" w:asciiTheme="minorEastAsia" w:hAnsiTheme="minorEastAsia" w:eastAsiaTheme="minorEastAsia" w:cstheme="minorEastAsia"/>
                <w:sz w:val="28"/>
                <w:szCs w:val="28"/>
                <w:lang w:val="en-US" w:eastAsia="zh-CN"/>
              </w:rPr>
              <w:t>的规定</w:t>
            </w:r>
            <w:r>
              <w:rPr>
                <w:rFonts w:hint="eastAsia" w:asciiTheme="minorEastAsia" w:hAnsiTheme="minorEastAsia" w:eastAsiaTheme="minorEastAsia" w:cstheme="minorEastAsia"/>
                <w:sz w:val="28"/>
                <w:szCs w:val="28"/>
              </w:rPr>
              <w:t>，制定本指引</w:t>
            </w:r>
            <w:r>
              <w:rPr>
                <w:rFonts w:hint="eastAsia" w:asciiTheme="minorEastAsia" w:hAnsiTheme="minorEastAsia" w:eastAsiaTheme="minorEastAsia" w:cstheme="minorEastAsia"/>
                <w:i w:val="0"/>
                <w:iCs w:val="0"/>
                <w:caps w:val="0"/>
                <w:color w:val="404040"/>
                <w:spacing w:val="0"/>
                <w:sz w:val="28"/>
                <w:szCs w:val="28"/>
                <w:lang w:eastAsia="zh-CN"/>
              </w:rPr>
              <w:t>。</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i w:val="0"/>
                <w:iCs w:val="0"/>
                <w:caps w:val="0"/>
                <w:color w:val="404040"/>
                <w:spacing w:val="0"/>
                <w:sz w:val="28"/>
                <w:szCs w:val="28"/>
                <w:lang w:val="en-US" w:eastAsia="zh-CN"/>
              </w:rPr>
              <w:t>1.2 本指引为指导性文件，不具有强制性，供本市律师在破产清算、重整、和解程序中，接受债权人委托代理申报债权时参考使用</w:t>
            </w:r>
            <w:r>
              <w:rPr>
                <w:rFonts w:hint="eastAsia" w:asciiTheme="minorEastAsia" w:hAnsiTheme="minorEastAsia" w:eastAsiaTheme="minorEastAsia" w:cstheme="minorEastAsia"/>
                <w:b w:val="0"/>
                <w:bCs/>
                <w:i w:val="0"/>
                <w:iCs w:val="0"/>
                <w:caps w:val="0"/>
                <w:color w:val="404040"/>
                <w:spacing w:val="0"/>
                <w:sz w:val="28"/>
                <w:szCs w:val="28"/>
              </w:rPr>
              <w:t>。</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1465" w:type="dxa"/>
            <w:gridSpan w:val="2"/>
            <w:shd w:val="clear" w:color="auto" w:fill="DBE3F4" w:themeFill="accent1" w:themeFillTint="32"/>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2610" w:rightChars="-1243" w:firstLine="0" w:firstLineChars="0"/>
              <w:jc w:val="center"/>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b/>
                <w:bCs/>
                <w:kern w:val="2"/>
                <w:sz w:val="28"/>
                <w:szCs w:val="28"/>
                <w:vertAlign w:val="baseline"/>
                <w:lang w:val="en-US" w:eastAsia="zh-CN" w:bidi="ar-SA"/>
              </w:rPr>
              <w:t>第二章 破产债权的范围</w:t>
            </w:r>
          </w:p>
        </w:tc>
        <w:tc>
          <w:tcPr>
            <w:tcW w:w="3058" w:type="dxa"/>
            <w:shd w:val="clear" w:color="auto" w:fill="DBE3F4" w:themeFill="accent1" w:themeFillTint="32"/>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2.1 债权人对债务人享有的债权发生于人民法院受理破产申请前，属于下列情形之一的，律师可代理债权人向管理人申报：</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（1）无财产担保的债权；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（2）有财产担保的债权；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（3）未到期的债权；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（4）附条件、附期限的债权；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（5）诉讼、仲裁未决的债权；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（6）债务人的保证人或者其他连带债务人因代替债务人清偿债务而取得的求偿权；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（7）债务人的保证人或者其他连带债务人尚未代替债务人清偿债务取得的将来求偿权，但债权人已经向管理人申报全部债权的除外；</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（8）人民法院受理破产申请后，管理人或者债务人解除破产申请受理前成立且双方均未履行完毕的合同所产生的损害赔偿请求权；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（9）委托合同的受托人因不知委托人破产事实，继续处理委托事务所产生的请求权；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（10）债务人是票据的出票人，该票据的付款人不知债务人破产的事实而付款或者承兑所产生的请求权；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vertAlign w:val="baseline"/>
              </w:rPr>
              <w:t>（11）法院受理破产申请前发生的法律事实而成立的其他债权。</w:t>
            </w: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第四十六条 未到期的债权，在破产申请受理时视为到期。</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附利息的债权自破产申请受理时起停止计息。</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第四十七条 附条件、附期限的债权和诉讼、仲裁未决的债权，债权人可以申报。</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第五十一条 债务人的保证人或者其他连带债务人已经代替债务人清偿债务的，以其对债务人的求偿权申报债权。</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债务人的保证人或者其他连带债务人尚未代替债务人清偿债务的，以其对债务人的将来求偿权申报债权。但是，债权人已经向管理人申报全部债权的除外。</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中华人民共和国民法典</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第六百八十七条 当事人在保证合同中约定，债务人不能履行债务时，由保证人承担保证责任的，为一般保证。</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一般保证的保证人在主合同纠纷未经审判或者仲裁，并就债务人财产依法强制执行仍不能履行债务前，有权拒绝向债权人承担保证责任，但是有下列情形之一的除外：</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（一）债务人下落不明，且无财产可供执行；</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（二）人民法院已经受理债务人破产案件；</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（三）债权人有证据证明债务人的财产不足以履行全部债务或者丧失履行债务能力；</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（四）保证人书面表示放弃本款规定的权利。</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第五十三条 管理人或者债务人依照本法规定解除合同的，对方当事人以因合同解除所产生的损害赔偿请求权申报债权。</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中华人民共和国企业破产法</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第十八条 人民法院受理破产申请后，管理人对破产申请受理前成立而债务人和对方当事人均未履行完毕的合同有权决定解除或者继续履行，并通知对方当事人。管理人自破产申请受理之日起二个月内未通知对方当事人，或者自收到对方当事人催告之日起三十日内未答复的，视为解除合同。</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管理人决定继续履行合同的，对方当事人应当履行；但是，对方当事人有权要求管理人提供担保。管理人不提供担保的，视为解除合同。</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第五十四条 债务人是委托合同的委托人，被裁定适用本法规定的程序，受托人不知该事实，继续处理委托事务的，受托人以由此产生的请求权申报债权。</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第五十五条 债务人是票据的出票人，被裁定适用本法规定的程序，该票据的付款人继续付款或者承兑的，付款人以由此产生的请求权申报债权。</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最高人民法院关于适用</w:t>
            </w:r>
            <w:r>
              <w:rPr>
                <w:rFonts w:hint="eastAsia" w:asciiTheme="minorEastAsia" w:hAnsiTheme="minorEastAsia" w:eastAsiaTheme="minorEastAsia" w:cstheme="minorEastAsia"/>
                <w:sz w:val="28"/>
                <w:szCs w:val="28"/>
                <w:lang w:val="en-US" w:eastAsia="zh-CN"/>
              </w:rPr>
              <w:t>&lt;</w:t>
            </w:r>
            <w:r>
              <w:rPr>
                <w:rFonts w:hint="eastAsia" w:asciiTheme="minorEastAsia" w:hAnsiTheme="minorEastAsia" w:eastAsiaTheme="minorEastAsia" w:cstheme="minorEastAsia"/>
                <w:sz w:val="28"/>
                <w:szCs w:val="28"/>
              </w:rPr>
              <w:t>中华人民共和国民法典</w:t>
            </w:r>
            <w:r>
              <w:rPr>
                <w:rFonts w:hint="eastAsia" w:asciiTheme="minorEastAsia" w:hAnsiTheme="minorEastAsia" w:eastAsiaTheme="minorEastAsia" w:cstheme="minorEastAsia"/>
                <w:sz w:val="28"/>
                <w:szCs w:val="28"/>
                <w:lang w:val="en-US" w:eastAsia="zh-CN"/>
              </w:rPr>
              <w:t>&gt;</w:t>
            </w:r>
            <w:r>
              <w:rPr>
                <w:rFonts w:hint="eastAsia" w:asciiTheme="minorEastAsia" w:hAnsiTheme="minorEastAsia" w:eastAsiaTheme="minorEastAsia" w:cstheme="minorEastAsia"/>
                <w:sz w:val="28"/>
                <w:szCs w:val="28"/>
              </w:rPr>
              <w:t>有关担保制度的解释</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法释〔2020〕28号</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第二十三条 人民法院受理债务人破产案件，债权人在破产程序中申报债权后又向人民法院提起诉讼，请求担保人承担担保责任的，人民法院依法予以支持。</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担保人清偿债权人的全部债权后，可以代替债权人在破产程序中受偿；在债权人的债权未获全部清偿前，担保人不得代替债权人在破产程序中受偿，但是有权就债权人通过破产分配和实现担保债权等方式获得清偿总额中超出债权的部分，在其承担担保责任的范围内请求债权人返还。</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rPr>
              <w:t>债权人在债务人破产程序中未获全部清偿，请求担保人继续承担担保责任的，人民法院应予支持；担保人承担担保责任后，向和解协议或者重整计划执行完毕后的债务人追偿的，人民法院不予支持。</w:t>
            </w:r>
          </w:p>
        </w:tc>
        <w:tc>
          <w:tcPr>
            <w:tcW w:w="305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val="0"/>
                <w:bCs w:val="0"/>
                <w:sz w:val="28"/>
                <w:szCs w:val="28"/>
                <w:vertAlign w:val="baseline"/>
              </w:rPr>
            </w:pPr>
            <w:r>
              <w:rPr>
                <w:rFonts w:hint="eastAsia" w:asciiTheme="minorEastAsia" w:hAnsiTheme="minorEastAsia" w:eastAsiaTheme="minorEastAsia" w:cstheme="minorEastAsia"/>
                <w:b w:val="0"/>
                <w:bCs w:val="0"/>
                <w:sz w:val="28"/>
                <w:szCs w:val="28"/>
                <w:lang w:val="en-US" w:eastAsia="zh-CN"/>
              </w:rPr>
              <w:t>2.2 委托人是债务人的职工，债务人欠付</w:t>
            </w:r>
            <w:r>
              <w:rPr>
                <w:rFonts w:hint="eastAsia" w:asciiTheme="minorEastAsia" w:hAnsiTheme="minorEastAsia" w:cstheme="minorEastAsia"/>
                <w:b w:val="0"/>
                <w:bCs w:val="0"/>
                <w:sz w:val="28"/>
                <w:szCs w:val="28"/>
                <w:lang w:val="en-US" w:eastAsia="zh-CN"/>
              </w:rPr>
              <w:t>职工的</w:t>
            </w:r>
            <w:r>
              <w:rPr>
                <w:rFonts w:hint="eastAsia" w:asciiTheme="minorEastAsia" w:hAnsiTheme="minorEastAsia" w:eastAsiaTheme="minorEastAsia" w:cstheme="minorEastAsia"/>
                <w:b w:val="0"/>
                <w:bCs w:val="0"/>
                <w:sz w:val="28"/>
                <w:szCs w:val="28"/>
                <w:lang w:val="en-US" w:eastAsia="zh-CN"/>
              </w:rPr>
              <w:t>工资和医疗、伤残补助、抚恤费用，社会保险费用，经济补偿、赔偿金的,律师应告知委托人不必申报,职工债权由管理人调查后列出清单并予以公示。</w:t>
            </w: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第四十八条 债权人应当在人民法院确定的债权申报期限内向管理人申报债权。</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务人所欠职工的工资和医疗、伤残补助、抚恤费用，所欠的应当划入职工个人账户的基本养老保险、基本医疗保险费用，以及法律、行政法规规定应当支付给职工的补偿金，不必申报，由管理人调查后列出清单并予以公示。职工对清单记载有异议的，可以要求管理人更正；管理人不予更正的，职工可以向人民法院提起诉讼。</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（修订草案）</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第六十八条 债权人应当在人民法院确定的债权申报期限内向管理人申报债权。</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债务人所欠职工的工资和医疗、伤残补助、抚恤费用 ,  所欠的社会保险费用 ,  以及法律、行政法规规定应当支付给职工的经济补偿、 赔偿金 ,  不必申报 ,  由管理人调查后列出清单并予以公示。</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职工、债权人、债务人对管理人调查公示的前款规定的费用金额有异议的 ,  有权要求管理人更正 ;  管理人不予更正的 ,  上述主体有权向人民法院提起诉讼。</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1465" w:type="dxa"/>
            <w:gridSpan w:val="2"/>
            <w:shd w:val="clear" w:color="auto" w:fill="DBE3F4" w:themeFill="accent1" w:themeFillTint="32"/>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2610" w:rightChars="-1243" w:firstLine="0" w:firstLineChars="0"/>
              <w:jc w:val="center"/>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b/>
                <w:bCs/>
                <w:kern w:val="2"/>
                <w:sz w:val="28"/>
                <w:szCs w:val="28"/>
                <w:vertAlign w:val="baseline"/>
                <w:lang w:val="en-US" w:eastAsia="zh-CN" w:bidi="ar-SA"/>
              </w:rPr>
              <w:t>第三章 债权申报期限</w:t>
            </w:r>
          </w:p>
        </w:tc>
        <w:tc>
          <w:tcPr>
            <w:tcW w:w="3058" w:type="dxa"/>
            <w:shd w:val="clear" w:color="auto" w:fill="DBE3F4" w:themeFill="accent1" w:themeFillTint="32"/>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val="0"/>
                <w:bCs w:val="0"/>
                <w:sz w:val="28"/>
                <w:szCs w:val="28"/>
                <w:vertAlign w:val="baseline"/>
                <w:lang w:eastAsia="zh-CN"/>
              </w:rPr>
            </w:pPr>
            <w:r>
              <w:rPr>
                <w:rFonts w:hint="eastAsia" w:asciiTheme="minorEastAsia" w:hAnsiTheme="minorEastAsia" w:eastAsiaTheme="minorEastAsia" w:cstheme="minorEastAsia"/>
                <w:b w:val="0"/>
                <w:bCs w:val="0"/>
                <w:sz w:val="28"/>
                <w:szCs w:val="28"/>
                <w:vertAlign w:val="baseline"/>
              </w:rPr>
              <w:t>3.1 律师应密切关注破产债权申报通知或公告，在人民法院确定的债权申报期限内向管理人申报债权。申报期限自人民法院发布受理破产申请公告之日起计算，最短不少于三十日，最长一般不超过三个月</w:t>
            </w:r>
            <w:r>
              <w:rPr>
                <w:rFonts w:hint="eastAsia" w:asciiTheme="minorEastAsia" w:hAnsiTheme="minorEastAsia" w:eastAsiaTheme="minorEastAsia" w:cstheme="minorEastAsia"/>
                <w:b w:val="0"/>
                <w:bCs w:val="0"/>
                <w:sz w:val="28"/>
                <w:szCs w:val="28"/>
                <w:vertAlign w:val="baseline"/>
                <w:lang w:eastAsia="zh-CN"/>
              </w:rPr>
              <w:t>。</w:t>
            </w: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第四十五条 人民法院受理破产申请后，应当确定债权人申报债权的期限。债权申报期限自人民法院发布受理破产申请公告之日起计算，最短不得少于三十日，最长不得超过三个月。</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第四十八条第一款 债权人应当在人民法院确定的债权申报期限内向管理人申报债权。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3.2 债权人未在人民法院确定的申报期限内申报债权的，可以在最后一次破产财产分配之前补充申报。律师应告知委托人，补充申报债权可能需要承担管理人审查和确认债权的费用。此外，对补充申报前已进行的分配，不能获得补充分配。</w:t>
            </w: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第五十六条 在人民法院确定的债权申报期限内，债权人未申报债权的，可以在破产财产最后分配前补充申报；但是，此前已进行的分配，不再对其补充分配。为审查和确认补充申报债权的费用，由补充申报人承担。</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债权人未依照本法规定申报债权的，不得依照本法规定的程序行使权利。</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lang w:val="en-US" w:eastAsia="zh-CN"/>
              </w:rPr>
              <w:t> 《大连市中级人民法院破产案件审理规范（试行）</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lang w:val="en-US" w:eastAsia="zh-CN"/>
              </w:rPr>
            </w:pPr>
            <w:r>
              <w:rPr>
                <w:rFonts w:hint="eastAsia" w:asciiTheme="minorEastAsia" w:hAnsiTheme="minorEastAsia" w:eastAsiaTheme="minorEastAsia" w:cstheme="minorEastAsia"/>
                <w:sz w:val="28"/>
                <w:szCs w:val="28"/>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lang w:val="en-US" w:eastAsia="zh-CN"/>
              </w:rPr>
              <w:t>93、人民法院受理破产申请时对债务人享有债权的债权人，应当在人民法院受理破产申请通知书和公告中确定的债权申报期限内向管理人申报债权。</w:t>
            </w:r>
            <w:r>
              <w:rPr>
                <w:rFonts w:hint="eastAsia" w:asciiTheme="minorEastAsia" w:hAnsiTheme="minorEastAsia" w:eastAsiaTheme="minorEastAsia" w:cstheme="minorEastAsia"/>
                <w:sz w:val="28"/>
                <w:szCs w:val="28"/>
                <w:vertAlign w:val="baseline"/>
                <w:lang w:val="en-US" w:eastAsia="zh-CN"/>
              </w:rPr>
              <w:br w:type="textWrapping"/>
            </w:r>
            <w:r>
              <w:rPr>
                <w:rFonts w:hint="eastAsia" w:asciiTheme="minorEastAsia" w:hAnsiTheme="minorEastAsia" w:eastAsiaTheme="minorEastAsia" w:cstheme="minorEastAsia"/>
                <w:sz w:val="28"/>
                <w:szCs w:val="28"/>
                <w:vertAlign w:val="baseline"/>
                <w:lang w:val="en-US" w:eastAsia="zh-CN"/>
              </w:rPr>
              <w:t>    在人民法院确定的债权申报期限内，债权人未申报债权的，可以在最后一次破产分配方案提交债权人会议表决之前、或者和解协议或重整计划草案提交债权人会议表决之前补充申报。但此前已进行的分配不再对其补充分配。为审查和确认补充申报债权的费用，由补充申报人承担。</w:t>
            </w:r>
            <w:r>
              <w:rPr>
                <w:rFonts w:hint="eastAsia" w:asciiTheme="minorEastAsia" w:hAnsiTheme="minorEastAsia" w:eastAsiaTheme="minorEastAsia" w:cstheme="minorEastAsia"/>
                <w:sz w:val="28"/>
                <w:szCs w:val="28"/>
                <w:vertAlign w:val="baseline"/>
                <w:lang w:val="en-US" w:eastAsia="zh-CN"/>
              </w:rPr>
              <w:br w:type="textWrapping"/>
            </w:r>
            <w:r>
              <w:rPr>
                <w:rFonts w:hint="eastAsia" w:asciiTheme="minorEastAsia" w:hAnsiTheme="minorEastAsia" w:eastAsiaTheme="minorEastAsia" w:cstheme="minorEastAsia"/>
                <w:sz w:val="28"/>
                <w:szCs w:val="28"/>
                <w:vertAlign w:val="baseline"/>
                <w:lang w:val="en-US" w:eastAsia="zh-CN"/>
              </w:rPr>
              <w:t>    补充申报的债权人，其债权未经管理人审查、债权人会议核查、法院确认之前，人民法院可以为其确定行使表决权的临时债权额，参与之后的破产程序表决事项。</w:t>
            </w:r>
            <w:r>
              <w:rPr>
                <w:rFonts w:hint="eastAsia" w:asciiTheme="minorEastAsia" w:hAnsiTheme="minorEastAsia" w:eastAsiaTheme="minorEastAsia" w:cstheme="minorEastAsia"/>
                <w:sz w:val="28"/>
                <w:szCs w:val="28"/>
                <w:vertAlign w:val="baseline"/>
                <w:lang w:val="en-US" w:eastAsia="zh-CN"/>
              </w:rPr>
              <w:br w:type="textWrapping"/>
            </w:r>
            <w:r>
              <w:rPr>
                <w:rFonts w:hint="eastAsia" w:asciiTheme="minorEastAsia" w:hAnsiTheme="minorEastAsia" w:eastAsiaTheme="minorEastAsia" w:cstheme="minorEastAsia"/>
                <w:sz w:val="28"/>
                <w:szCs w:val="28"/>
                <w:vertAlign w:val="baseline"/>
                <w:lang w:val="en-US" w:eastAsia="zh-CN"/>
              </w:rPr>
              <w:t>    债权人未依照企业破产法规定申报债权的，不得依照企业破产法规定的程序行使权利。</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3.3 债务人已进入重整计划或和解协议执行期间的，债权人未依照《中华人民共和国企业破产法》的规定申报债权的，在该期间无法行使债权人权利；委托人可在重整计划或和解协议执行完毕后，按照重整计划或和解协议规定的同类债权的清偿条件行使权利。</w:t>
            </w: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第九十二条</w:t>
            </w:r>
            <w:r>
              <w:rPr>
                <w:rFonts w:hint="eastAsia" w:asciiTheme="minorEastAsia" w:hAnsiTheme="minorEastAsia" w:eastAsiaTheme="minorEastAsia" w:cstheme="minorEastAsia"/>
                <w:sz w:val="28"/>
                <w:szCs w:val="28"/>
                <w:lang w:val="en-US" w:eastAsia="zh-CN"/>
              </w:rPr>
              <w:t>第二款</w:t>
            </w:r>
            <w:r>
              <w:rPr>
                <w:rFonts w:hint="eastAsia" w:asciiTheme="minorEastAsia" w:hAnsiTheme="minorEastAsia" w:eastAsiaTheme="minorEastAsia" w:cstheme="minorEastAsia"/>
                <w:sz w:val="28"/>
                <w:szCs w:val="28"/>
              </w:rPr>
              <w:t xml:space="preserve"> 债权人未依照本法规定申报债权的，在重整计划执行期间不得行使权利；在重整计划执行完毕后，可以按照重整计划规定的同类债权的清偿条件行使权利。</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第一百条 经人民法院裁定认可的和解协议，对债务人和全体和解债权人均有约束力。</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和解债权人是指人民法院受理破产申请时对债务人享有无财产担保债权的人。</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和解债权人未依照本法规定申报债权的，在和解协议执行期间不得行使权利；在和解协议执行完毕后，可以按照和解协议规定的清偿条件行使权利。</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1465" w:type="dxa"/>
            <w:gridSpan w:val="2"/>
            <w:shd w:val="clear" w:color="auto" w:fill="DBE3F4" w:themeFill="accent1" w:themeFillTint="32"/>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2610" w:rightChars="-1243" w:firstLine="0" w:firstLineChars="0"/>
              <w:jc w:val="center"/>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b/>
                <w:bCs/>
                <w:kern w:val="2"/>
                <w:sz w:val="28"/>
                <w:szCs w:val="28"/>
                <w:vertAlign w:val="baseline"/>
                <w:lang w:val="en-US" w:eastAsia="zh-CN" w:bidi="ar-SA"/>
              </w:rPr>
              <w:t>第四章 债权申报方式</w:t>
            </w:r>
          </w:p>
        </w:tc>
        <w:tc>
          <w:tcPr>
            <w:tcW w:w="3058" w:type="dxa"/>
            <w:shd w:val="clear" w:color="auto" w:fill="DBE3F4" w:themeFill="accent1" w:themeFillTint="32"/>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4.1 律师应按照债权申报通知或公告要求的方式代理申报债权。</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 xml:space="preserve">4.1.1 </w:t>
            </w:r>
            <w:r>
              <w:rPr>
                <w:rFonts w:hint="eastAsia" w:asciiTheme="minorEastAsia" w:hAnsiTheme="minorEastAsia" w:eastAsiaTheme="minorEastAsia" w:cstheme="minorEastAsia"/>
                <w:sz w:val="28"/>
                <w:szCs w:val="28"/>
              </w:rPr>
              <w:t>现场申报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按</w:t>
            </w:r>
            <w:r>
              <w:rPr>
                <w:rFonts w:hint="eastAsia" w:asciiTheme="minorEastAsia" w:hAnsiTheme="minorEastAsia" w:eastAsiaTheme="minorEastAsia" w:cstheme="minorEastAsia"/>
                <w:sz w:val="28"/>
                <w:szCs w:val="28"/>
                <w:lang w:val="en-US" w:eastAsia="zh-CN"/>
              </w:rPr>
              <w:t>债权申报通知或</w:t>
            </w:r>
            <w:r>
              <w:rPr>
                <w:rFonts w:hint="eastAsia" w:asciiTheme="minorEastAsia" w:hAnsiTheme="minorEastAsia" w:eastAsiaTheme="minorEastAsia" w:cstheme="minorEastAsia"/>
                <w:sz w:val="28"/>
                <w:szCs w:val="28"/>
              </w:rPr>
              <w:t>公告的地址和时间，携带申报材料及证据原件前往</w:t>
            </w:r>
            <w:r>
              <w:rPr>
                <w:rFonts w:hint="eastAsia" w:asciiTheme="minorEastAsia" w:hAnsiTheme="minorEastAsia" w:eastAsiaTheme="minorEastAsia" w:cstheme="minorEastAsia"/>
                <w:sz w:val="28"/>
                <w:szCs w:val="28"/>
                <w:lang w:val="en-US" w:eastAsia="zh-CN"/>
              </w:rPr>
              <w:t>指定地点申报</w:t>
            </w:r>
            <w:r>
              <w:rPr>
                <w:rFonts w:hint="eastAsia" w:asciiTheme="minorEastAsia" w:hAnsiTheme="minorEastAsia" w:eastAsiaTheme="minorEastAsia" w:cstheme="minorEastAsia"/>
                <w:sz w:val="28"/>
                <w:szCs w:val="28"/>
              </w:rPr>
              <w:t>。</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 xml:space="preserve">4.1.2 </w:t>
            </w:r>
            <w:r>
              <w:rPr>
                <w:rFonts w:hint="eastAsia" w:asciiTheme="minorEastAsia" w:hAnsiTheme="minorEastAsia" w:eastAsiaTheme="minorEastAsia" w:cstheme="minorEastAsia"/>
                <w:sz w:val="28"/>
                <w:szCs w:val="28"/>
              </w:rPr>
              <w:t>邮寄申报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通过EMS等具有物流追踪功能的快递邮寄</w:t>
            </w:r>
            <w:r>
              <w:rPr>
                <w:rFonts w:hint="eastAsia" w:asciiTheme="minorEastAsia" w:hAnsiTheme="minorEastAsia" w:eastAsiaTheme="minorEastAsia" w:cstheme="minorEastAsia"/>
                <w:sz w:val="28"/>
                <w:szCs w:val="28"/>
                <w:lang w:val="en-US" w:eastAsia="zh-CN"/>
              </w:rPr>
              <w:t>申报材料</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建议</w:t>
            </w:r>
            <w:r>
              <w:rPr>
                <w:rFonts w:hint="eastAsia" w:asciiTheme="minorEastAsia" w:hAnsiTheme="minorEastAsia" w:eastAsiaTheme="minorEastAsia" w:cstheme="minorEastAsia"/>
                <w:sz w:val="28"/>
                <w:szCs w:val="28"/>
              </w:rPr>
              <w:t>在快递单上</w:t>
            </w:r>
            <w:r>
              <w:rPr>
                <w:rFonts w:hint="eastAsia" w:asciiTheme="minorEastAsia" w:hAnsiTheme="minorEastAsia" w:eastAsiaTheme="minorEastAsia" w:cstheme="minorEastAsia"/>
                <w:sz w:val="28"/>
                <w:szCs w:val="28"/>
                <w:lang w:val="en-US" w:eastAsia="zh-CN"/>
              </w:rPr>
              <w:t>备注</w:t>
            </w:r>
            <w:r>
              <w:rPr>
                <w:rFonts w:hint="eastAsia" w:asciiTheme="minorEastAsia" w:hAnsiTheme="minorEastAsia" w:eastAsiaTheme="minorEastAsia" w:cstheme="minorEastAsia"/>
                <w:sz w:val="28"/>
                <w:szCs w:val="28"/>
              </w:rPr>
              <w:t>“债权申报材料”及债权人名称。律师应保留邮寄凭证，并及时跟踪物流信息</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确认</w:t>
            </w:r>
            <w:r>
              <w:rPr>
                <w:rFonts w:hint="eastAsia" w:asciiTheme="minorEastAsia" w:hAnsiTheme="minorEastAsia" w:eastAsiaTheme="minorEastAsia" w:cstheme="minorEastAsia"/>
                <w:sz w:val="28"/>
                <w:szCs w:val="28"/>
                <w:lang w:val="en-US" w:eastAsia="zh-CN"/>
              </w:rPr>
              <w:t>是否</w:t>
            </w:r>
            <w:r>
              <w:rPr>
                <w:rFonts w:hint="eastAsia" w:asciiTheme="minorEastAsia" w:hAnsiTheme="minorEastAsia" w:eastAsiaTheme="minorEastAsia" w:cstheme="minorEastAsia"/>
                <w:sz w:val="28"/>
                <w:szCs w:val="28"/>
              </w:rPr>
              <w:t>签收。</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 xml:space="preserve">4.1.3 </w:t>
            </w:r>
            <w:r>
              <w:rPr>
                <w:rFonts w:hint="eastAsia" w:asciiTheme="minorEastAsia" w:hAnsiTheme="minorEastAsia" w:eastAsiaTheme="minorEastAsia" w:cstheme="minorEastAsia"/>
                <w:sz w:val="28"/>
                <w:szCs w:val="28"/>
              </w:rPr>
              <w:t>网络申报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通过</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全国企业破产重整案件信息网</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或管理人指定的微信小程序</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APP</w:t>
            </w:r>
            <w:r>
              <w:rPr>
                <w:rFonts w:hint="eastAsia" w:asciiTheme="minorEastAsia" w:hAnsiTheme="minorEastAsia" w:eastAsiaTheme="minorEastAsia" w:cstheme="minorEastAsia"/>
                <w:sz w:val="28"/>
                <w:szCs w:val="28"/>
              </w:rPr>
              <w:t>等电子平台进行申报。</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1465" w:type="dxa"/>
            <w:gridSpan w:val="2"/>
            <w:shd w:val="clear" w:color="auto" w:fill="DBE3F4" w:themeFill="accent1" w:themeFillTint="32"/>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2610" w:rightChars="-1243" w:firstLine="0" w:firstLineChars="0"/>
              <w:jc w:val="center"/>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b/>
                <w:bCs/>
                <w:kern w:val="2"/>
                <w:sz w:val="28"/>
                <w:szCs w:val="28"/>
                <w:vertAlign w:val="baseline"/>
                <w:lang w:val="en-US" w:eastAsia="zh-CN" w:bidi="ar-SA"/>
              </w:rPr>
              <w:t>第五章 债权申报</w:t>
            </w:r>
          </w:p>
        </w:tc>
        <w:tc>
          <w:tcPr>
            <w:tcW w:w="3058" w:type="dxa"/>
            <w:shd w:val="clear" w:color="auto" w:fill="DBE3F4" w:themeFill="accent1" w:themeFillTint="32"/>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 律师应按照债权申报通知的要求及时提交申报材料，所有申报材料应经委托人签字、盖章。申报材料的准备可参考本节。</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5.1.1 债权申报表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5.1.1.1 申报债权的基本情况。写明申报债权的金额、币种、性质、形成原因、经过、有无财产担保、涉诉情况等。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5.1.1.2 利息、违约金的计算。可另附计算表，列明计算依据、方法、结果、基数、期间起止日、实际天数、金额等。计算基数或标准发生变动的，应分段计算。建议将利息与罚息、迟延利息、滞纳金等分开计算。破产申请受理前债务人未支付应付款项的滞纳金、迟延履行债务利息一般被认定为劣后债权。例外：税收滞纳金属于普通债权</w:t>
            </w:r>
            <w:r>
              <w:rPr>
                <w:rFonts w:hint="eastAsia" w:asciiTheme="minorEastAsia" w:hAnsiTheme="minorEastAsia" w:cstheme="minorEastAsia"/>
                <w:sz w:val="28"/>
                <w:szCs w:val="28"/>
                <w:lang w:val="en-US" w:eastAsia="zh-CN"/>
              </w:rPr>
              <w:t>。</w:t>
            </w: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最高人民法院关于税务机关就破产企业欠缴税款产生的滞纳金提起的债权确认之诉应否受理问题的批复</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法释〔2012〕9号</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税务机关就破产企业欠缴税款产生的滞纳金提起的债权确认之诉，人民法院应依法受理。依照企业破产法、税收征收管理法的有关规定，破产企业在破产案件受理前因欠缴税款产生的滞纳金属于普通破产债权。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（修订草案）</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第一百六十二条 破产财产在优先清偿破产费用和共益债务后 ,  依照下列顺序清偿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  因破产人侵害他人生命权、 身体权、 健康权产生的人身损害赔偿债权 ,  但惩罚性赔偿债权除外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  破产人所欠消费者维持生活需要的商品或者服务债权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  破产人所欠职工的工资和医疗、伤残补助、抚恤费用 ,所欠的社会保险费用 ,  法律、行政法规规定应当支付给职工的经济补偿、 赔偿金 ,  以及由欠薪保障基金等垫付职工债权后形成的债权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  破产人所欠税款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  普通破产债权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  家庭成员之间的借款债权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  破产债权在破产申请受理后产生的利息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(八)  破产人发行的次级债券所形成的次级债权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(九)  破产申请受理前破产人未支付应付款项的滞纳金、 民事惩罚性赔偿金、行政罚款、 刑事罚金等具有惩罚性的债权 ;</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  同破产人具有关联关系的主体与破产人之间的不公允交易而对破产人享有的债权。</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破产财产不足以清偿同一顺序的清偿要求的 ,  按照比例分配。</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破产企业的董事、 监事和高级管理人员的工资按照该企业职工的平均工资计算。</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5.1.2 主体资格材料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5.1.2.1 委托人主体资格证明材料。委托人为单位的，提供营业执照或统一社会信用代码证书复印件、法定代表人身份证明书、法定代表人身份证复印件；委托人为自然人的，提供居民身份证复印件。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5.1.2.2 授权委托代理手续。需提交授权委托书，明确代理权限</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并附律师执业证复印件及律师事务所的指派函。</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5.1.3 证明债权发生及金额的证据材料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5.1.3.1 债权发生及履行材料。各类合同书等债权原始材料及票据、汇款单、对账单、提货单、收据、发票等履行凭证。</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5.1.3.2 涉诉材料。债权如有生效法律文书支持的，须提交法律文书及文书已生效的证明材料。如已申请人民法院强制执行的，须提交执行法院关于案件执行情况的证明材料，明确执行环节是否获得清偿以及具体清偿金额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5.1.3.3 保全材料。所申报债权在诉讼或仲裁程序中申请财产保全的，须提交人民法院做出的保全裁定书等相关文件。</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5.1.3.4 诉讼时效材料。能够证明债权诉讼时效中止、中断的证明材料（如涉及诉讼时效问题的）。</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5.1.3.5 商业汇票材料。若申报的债权涉及商业汇票的，应另行提供商业汇票产生或流转的基础合同，如涉及被追索的，还应当提供已经清偿后手票据债务的相关证据。</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5.1.3.6 偿还或抵债材料。债权已部分偿还或有其他抵债情形的，须提供偿债凭证、协议或以物抵债协议等材料。</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5.1.3.7 其他证明材料。其他能证明债权成立及其金额的材料。</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5.1.4 送达地址确认书。律师应按照管理人要求填写送达地址确认书。送达方式变更的，应及时以书面方式通知管理人。</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5.1.5 收款账户信息。需填写债权人本人（本单位）的银行账户，并保证账户信息完整、准确、有效。收款账户信息发生变更的，应及时书面通知管理人。</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5.1.6 管理人要求提供的其他材料。如管理人要求提交依法申报债权的承诺书等材料的，律师应一并提交。</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5.2 现场提交债权申报材料的，建议向管理人索要</w:t>
            </w:r>
            <w:r>
              <w:rPr>
                <w:rFonts w:hint="eastAsia" w:asciiTheme="minorEastAsia" w:hAnsiTheme="minorEastAsia" w:eastAsiaTheme="minorEastAsia" w:cstheme="minorEastAsia"/>
                <w:sz w:val="28"/>
                <w:szCs w:val="28"/>
              </w:rPr>
              <w:t>《债权申报回执》</w:t>
            </w:r>
            <w:r>
              <w:rPr>
                <w:rFonts w:hint="eastAsia" w:asciiTheme="minorEastAsia" w:hAnsiTheme="minorEastAsia" w:eastAsiaTheme="minorEastAsia" w:cstheme="minorEastAsia"/>
                <w:sz w:val="28"/>
                <w:szCs w:val="28"/>
                <w:lang w:eastAsia="zh-CN"/>
              </w:rPr>
              <w:t>，如管理人不予出具的，</w:t>
            </w:r>
            <w:r>
              <w:rPr>
                <w:rFonts w:hint="eastAsia" w:asciiTheme="minorEastAsia" w:hAnsiTheme="minorEastAsia" w:eastAsiaTheme="minorEastAsia" w:cstheme="minorEastAsia"/>
                <w:sz w:val="28"/>
                <w:szCs w:val="28"/>
                <w:lang w:val="en-US" w:eastAsia="zh-CN"/>
              </w:rPr>
              <w:t>可</w:t>
            </w:r>
            <w:r>
              <w:rPr>
                <w:rFonts w:hint="eastAsia" w:asciiTheme="minorEastAsia" w:hAnsiTheme="minorEastAsia" w:eastAsiaTheme="minorEastAsia" w:cstheme="minorEastAsia"/>
                <w:sz w:val="28"/>
                <w:szCs w:val="28"/>
                <w:lang w:eastAsia="zh-CN"/>
              </w:rPr>
              <w:t>通过拍照、录像或其他方式固定申报事实；</w:t>
            </w:r>
            <w:r>
              <w:rPr>
                <w:rFonts w:hint="eastAsia" w:asciiTheme="minorEastAsia" w:hAnsiTheme="minorEastAsia" w:eastAsiaTheme="minorEastAsia" w:cstheme="minorEastAsia"/>
                <w:sz w:val="28"/>
                <w:szCs w:val="28"/>
                <w:lang w:val="en-US" w:eastAsia="zh-CN"/>
              </w:rPr>
              <w:t>邮寄申报的，应保留邮寄凭证并跟踪签收情况；网络申报的，可采取截屏、录屏等方式保留申报成功的证明材料。</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lang w:val="en-US" w:eastAsia="zh-CN"/>
              </w:rPr>
              <w:t>5.3 提交申报材料后</w:t>
            </w:r>
            <w:r>
              <w:rPr>
                <w:rFonts w:hint="eastAsia" w:asciiTheme="minorEastAsia" w:hAnsiTheme="minorEastAsia" w:eastAsiaTheme="minorEastAsia" w:cstheme="minorEastAsia"/>
                <w:sz w:val="28"/>
                <w:szCs w:val="28"/>
                <w:highlight w:val="none"/>
                <w:lang w:val="en-US" w:eastAsia="zh-CN"/>
              </w:rPr>
              <w:t>，律师应关注债权审核进展，与管理人保持沟通。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5.3.1 管理人通知补正的，律师应及时与委托人沟通，在规定期限内及时补正。</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highlight w:val="none"/>
                <w:lang w:val="en-US" w:eastAsia="zh-CN"/>
              </w:rPr>
              <w:t>5.3.2 管理人通知要求核对证据原件的，律师应及时告知委托人，建议由委托人按照管理人要求将证据原件提交管理人核对。</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0" w:hRule="atLeast"/>
        </w:trPr>
        <w:tc>
          <w:tcPr>
            <w:tcW w:w="11465" w:type="dxa"/>
            <w:gridSpan w:val="2"/>
            <w:shd w:val="clear" w:color="auto" w:fill="DBE3F4" w:themeFill="accent1" w:themeFillTint="32"/>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2610" w:rightChars="-1243" w:firstLine="0" w:firstLineChars="0"/>
              <w:jc w:val="center"/>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lang w:val="en-US" w:eastAsia="zh-CN"/>
              </w:rPr>
              <w:t>第六章 债权核查</w:t>
            </w:r>
          </w:p>
        </w:tc>
        <w:tc>
          <w:tcPr>
            <w:tcW w:w="3058" w:type="dxa"/>
            <w:shd w:val="clear" w:color="auto" w:fill="DBE3F4" w:themeFill="accent1" w:themeFillTint="32"/>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 xml:space="preserve">6.1 </w:t>
            </w:r>
            <w:r>
              <w:rPr>
                <w:rFonts w:hint="eastAsia" w:asciiTheme="minorEastAsia" w:hAnsiTheme="minorEastAsia" w:eastAsiaTheme="minorEastAsia" w:cstheme="minorEastAsia"/>
                <w:sz w:val="28"/>
                <w:szCs w:val="28"/>
              </w:rPr>
              <w:t>债权需经管理人审查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债权人会议核查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人民</w:t>
            </w:r>
            <w:r>
              <w:rPr>
                <w:rFonts w:hint="eastAsia" w:asciiTheme="minorEastAsia" w:hAnsiTheme="minorEastAsia" w:eastAsiaTheme="minorEastAsia" w:cstheme="minorEastAsia"/>
                <w:sz w:val="28"/>
                <w:szCs w:val="28"/>
              </w:rPr>
              <w:t>法院裁定确认</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6.1.1 </w:t>
            </w:r>
            <w:r>
              <w:rPr>
                <w:rFonts w:hint="eastAsia" w:asciiTheme="minorEastAsia" w:hAnsiTheme="minorEastAsia" w:eastAsiaTheme="minorEastAsia" w:cstheme="minorEastAsia"/>
                <w:sz w:val="28"/>
                <w:szCs w:val="28"/>
              </w:rPr>
              <w:t>管理人审查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管理人通常会在债权人会议召开前</w:t>
            </w:r>
            <w:r>
              <w:rPr>
                <w:rFonts w:hint="eastAsia" w:asciiTheme="minorEastAsia" w:hAnsiTheme="minorEastAsia" w:eastAsiaTheme="minorEastAsia" w:cstheme="minorEastAsia"/>
                <w:sz w:val="28"/>
                <w:szCs w:val="28"/>
                <w:lang w:val="en-US" w:eastAsia="zh-CN"/>
              </w:rPr>
              <w:t>或会议召开时</w:t>
            </w:r>
            <w:r>
              <w:rPr>
                <w:rFonts w:hint="eastAsia" w:asciiTheme="minorEastAsia" w:hAnsiTheme="minorEastAsia" w:eastAsiaTheme="minorEastAsia" w:cstheme="minorEastAsia"/>
                <w:sz w:val="28"/>
                <w:szCs w:val="28"/>
              </w:rPr>
              <w:t>向债权人出具《债权审查意见书》，告知初步审查结果（确认</w:t>
            </w:r>
            <w:r>
              <w:rPr>
                <w:rFonts w:hint="eastAsia" w:asciiTheme="minorEastAsia" w:hAnsiTheme="minorEastAsia" w:eastAsiaTheme="minorEastAsia" w:cstheme="minorEastAsia"/>
                <w:sz w:val="28"/>
                <w:szCs w:val="28"/>
                <w:lang w:val="en-US" w:eastAsia="zh-CN"/>
              </w:rPr>
              <w:t>或部分确认</w:t>
            </w:r>
            <w:r>
              <w:rPr>
                <w:rFonts w:hint="eastAsia" w:asciiTheme="minorEastAsia" w:hAnsiTheme="minorEastAsia" w:eastAsiaTheme="minorEastAsia" w:cstheme="minorEastAsia"/>
                <w:sz w:val="28"/>
                <w:szCs w:val="28"/>
              </w:rPr>
              <w:t>、暂缓确认</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不予确认）。律师收到后应及时向委托人解读</w:t>
            </w:r>
            <w:r>
              <w:rPr>
                <w:rFonts w:hint="eastAsia" w:asciiTheme="minorEastAsia" w:hAnsiTheme="minorEastAsia" w:eastAsiaTheme="minorEastAsia" w:cstheme="minorEastAsia"/>
                <w:sz w:val="28"/>
                <w:szCs w:val="28"/>
                <w:lang w:val="en-US" w:eastAsia="zh-CN"/>
              </w:rPr>
              <w:t>审查结论</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如</w:t>
            </w:r>
            <w:r>
              <w:rPr>
                <w:rFonts w:hint="eastAsia" w:asciiTheme="minorEastAsia" w:hAnsiTheme="minorEastAsia" w:eastAsiaTheme="minorEastAsia" w:cstheme="minorEastAsia"/>
                <w:sz w:val="28"/>
                <w:szCs w:val="28"/>
              </w:rPr>
              <w:t>有异议，</w:t>
            </w:r>
            <w:r>
              <w:rPr>
                <w:rFonts w:hint="eastAsia" w:asciiTheme="minorEastAsia" w:hAnsiTheme="minorEastAsia" w:eastAsiaTheme="minorEastAsia" w:cstheme="minorEastAsia"/>
                <w:sz w:val="28"/>
                <w:szCs w:val="28"/>
                <w:lang w:val="en-US" w:eastAsia="zh-CN"/>
              </w:rPr>
              <w:t>按照本指引进行救济</w:t>
            </w:r>
            <w:r>
              <w:rPr>
                <w:rFonts w:hint="eastAsia" w:asciiTheme="minorEastAsia" w:hAnsiTheme="minorEastAsia" w:eastAsiaTheme="minorEastAsia" w:cstheme="minorEastAsia"/>
                <w:sz w:val="28"/>
                <w:szCs w:val="28"/>
              </w:rPr>
              <w:t>。</w:t>
            </w:r>
          </w:p>
          <w:p>
            <w:pPr>
              <w:keepNext w:val="0"/>
              <w:keepLines w:val="0"/>
              <w:pageBreakBefore w:val="0"/>
              <w:widowControl w:val="0"/>
              <w:kinsoku/>
              <w:wordWrap/>
              <w:overflowPunct/>
              <w:topLinePunct w:val="0"/>
              <w:autoSpaceDE/>
              <w:autoSpaceDN/>
              <w:bidi w:val="0"/>
              <w:adjustRightInd/>
              <w:snapToGrid/>
              <w:spacing w:line="320" w:lineRule="exact"/>
              <w:ind w:firstLine="561" w:firstLineChars="200"/>
              <w:textAlignment w:val="auto"/>
              <w:rPr>
                <w:rFonts w:hint="eastAsia" w:asciiTheme="minorEastAsia" w:hAnsiTheme="minorEastAsia" w:eastAsiaTheme="minorEastAsia" w:cstheme="minorEastAsia"/>
                <w:b/>
                <w:bCs/>
                <w:sz w:val="28"/>
                <w:szCs w:val="28"/>
                <w:vertAlign w:val="baseline"/>
              </w:rPr>
            </w:pP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第五十八条 依照本法第五十七条规定编制的债权表，应当提交第一次债权人会议核查。</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债务人、债权人对债权表记载的债权无异议的，由人民法院裁定确认。</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债务人、债权人对债权表记载的债权有异议的，可以向受理破产申请的人民法院提起诉讼。</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lang w:eastAsia="zh-CN"/>
              </w:rPr>
            </w:pPr>
            <w:r>
              <w:rPr>
                <w:rFonts w:hint="eastAsia" w:asciiTheme="minorEastAsia" w:hAnsiTheme="minorEastAsia" w:eastAsiaTheme="minorEastAsia" w:cstheme="minorEastAsia"/>
                <w:b w:val="0"/>
                <w:bCs w:val="0"/>
                <w:sz w:val="28"/>
                <w:szCs w:val="28"/>
                <w:vertAlign w:val="baseline"/>
              </w:rPr>
              <w:t>6.1.2 对于暂缓确认的债权，律师可代理委托人向管理人提出请求，要求其向法院申请确定临时债权额，以保障在债权人会议中的表决权</w:t>
            </w:r>
            <w:r>
              <w:rPr>
                <w:rFonts w:hint="eastAsia" w:asciiTheme="minorEastAsia" w:hAnsiTheme="minorEastAsia" w:cstheme="minorEastAsia"/>
                <w:b w:val="0"/>
                <w:bCs w:val="0"/>
                <w:sz w:val="28"/>
                <w:szCs w:val="28"/>
                <w:vertAlign w:val="baseline"/>
                <w:lang w:eastAsia="zh-CN"/>
              </w:rPr>
              <w:t>。</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lang w:eastAsia="zh-CN"/>
              </w:rPr>
            </w:pPr>
            <w:r>
              <w:rPr>
                <w:rFonts w:hint="eastAsia" w:asciiTheme="minorEastAsia" w:hAnsiTheme="minorEastAsia" w:cstheme="minorEastAsia"/>
                <w:sz w:val="28"/>
                <w:szCs w:val="28"/>
                <w:vertAlign w:val="baseline"/>
                <w:lang w:eastAsia="zh-CN"/>
              </w:rPr>
              <w:t>《</w:t>
            </w:r>
            <w:r>
              <w:rPr>
                <w:rFonts w:hint="eastAsia" w:asciiTheme="minorEastAsia" w:hAnsiTheme="minorEastAsia" w:eastAsiaTheme="minorEastAsia" w:cstheme="minorEastAsia"/>
                <w:sz w:val="28"/>
                <w:szCs w:val="28"/>
                <w:vertAlign w:val="baseline"/>
              </w:rPr>
              <w:t>中华人民共和国企业破产法</w:t>
            </w:r>
            <w:r>
              <w:rPr>
                <w:rFonts w:hint="eastAsia" w:asciiTheme="minorEastAsia" w:hAnsiTheme="minorEastAsia" w:cstheme="minorEastAsia"/>
                <w:sz w:val="28"/>
                <w:szCs w:val="28"/>
                <w:vertAlign w:val="baseline"/>
                <w:lang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rPr>
              <w:t>第五十九条 依法申报债权的债权人为债权人会议的成员，有权参加债权人会议，享有表决权。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rPr>
              <w:t>债权尚未确定的债权人，除人民法院能够为其行使表决权而临时确定债权额的外，不得行使表决权。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rPr>
              <w:t>对债务人的特定财产享有担保权的债权人，未放弃优先受偿权利的，对于本法第六十一条第一款第七项、第十项规定的事项不享有表决权。</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rPr>
              <w:t>债权人可以委托代理人出席债权人会议，行使表决权。代理人出席债权人会议，应当向人民法院或者债权人会议主席提交债权人的授权委托书。</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rPr>
              <w:t>债权人会议应当有债务人的职工和工会的代表参加，对有关事项发表意见。</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6.1.</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债权人会议核查</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管理人编制《债权表》</w:t>
            </w:r>
            <w:r>
              <w:rPr>
                <w:rFonts w:hint="eastAsia" w:asciiTheme="minorEastAsia" w:hAnsiTheme="minorEastAsia" w:eastAsiaTheme="minorEastAsia" w:cstheme="minorEastAsia"/>
                <w:sz w:val="28"/>
                <w:szCs w:val="28"/>
                <w:lang w:val="en-US" w:eastAsia="zh-CN"/>
              </w:rPr>
              <w:t>后</w:t>
            </w:r>
            <w:r>
              <w:rPr>
                <w:rFonts w:hint="eastAsia" w:asciiTheme="minorEastAsia" w:hAnsiTheme="minorEastAsia" w:eastAsiaTheme="minorEastAsia" w:cstheme="minorEastAsia"/>
                <w:sz w:val="28"/>
                <w:szCs w:val="28"/>
              </w:rPr>
              <w:t>提交债权人会议核查。律师应当代理委托人参加债权人会议，</w:t>
            </w:r>
            <w:r>
              <w:rPr>
                <w:rFonts w:hint="eastAsia" w:asciiTheme="minorEastAsia" w:hAnsiTheme="minorEastAsia" w:eastAsiaTheme="minorEastAsia" w:cstheme="minorEastAsia"/>
                <w:sz w:val="28"/>
                <w:szCs w:val="28"/>
                <w:lang w:val="en-US" w:eastAsia="zh-CN"/>
              </w:rPr>
              <w:t>核对</w:t>
            </w:r>
            <w:r>
              <w:rPr>
                <w:rFonts w:hint="eastAsia" w:asciiTheme="minorEastAsia" w:hAnsiTheme="minorEastAsia" w:eastAsiaTheme="minorEastAsia" w:cstheme="minorEastAsia"/>
                <w:sz w:val="28"/>
                <w:szCs w:val="28"/>
              </w:rPr>
              <w:t>本人及他人的债权。</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6.1.</w:t>
            </w: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法院裁定确认</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对债务人、债权人无异议的债权，管理人提请人民法院裁定确认。</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6.2 委托人</w:t>
            </w:r>
            <w:r>
              <w:rPr>
                <w:rFonts w:hint="eastAsia" w:asciiTheme="minorEastAsia" w:hAnsiTheme="minorEastAsia" w:eastAsiaTheme="minorEastAsia" w:cstheme="minorEastAsia"/>
                <w:sz w:val="28"/>
                <w:szCs w:val="28"/>
              </w:rPr>
              <w:t>对</w:t>
            </w:r>
            <w:r>
              <w:rPr>
                <w:rFonts w:hint="eastAsia" w:asciiTheme="minorEastAsia" w:hAnsiTheme="minorEastAsia" w:eastAsiaTheme="minorEastAsia" w:cstheme="minorEastAsia"/>
                <w:sz w:val="28"/>
                <w:szCs w:val="28"/>
                <w:lang w:val="en-US" w:eastAsia="zh-CN"/>
              </w:rPr>
              <w:t>自己或他人债权审查结论有异议的，一般</w:t>
            </w:r>
            <w:r>
              <w:rPr>
                <w:rFonts w:hint="eastAsia" w:asciiTheme="minorEastAsia" w:hAnsiTheme="minorEastAsia" w:eastAsiaTheme="minorEastAsia" w:cstheme="minorEastAsia"/>
                <w:sz w:val="28"/>
                <w:szCs w:val="28"/>
              </w:rPr>
              <w:t>应先向管理人提出书面异议</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说明理由和法律依据，要求管理人解释或调整。</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 xml:space="preserve">6.3 </w:t>
            </w:r>
            <w:r>
              <w:rPr>
                <w:rFonts w:hint="eastAsia" w:asciiTheme="minorEastAsia" w:hAnsiTheme="minorEastAsia" w:eastAsiaTheme="minorEastAsia" w:cstheme="minorEastAsia"/>
                <w:sz w:val="28"/>
                <w:szCs w:val="28"/>
              </w:rPr>
              <w:t>管理人经复核调整</w:t>
            </w:r>
            <w:r>
              <w:rPr>
                <w:rFonts w:hint="eastAsia" w:asciiTheme="minorEastAsia" w:hAnsiTheme="minorEastAsia" w:eastAsiaTheme="minorEastAsia" w:cstheme="minorEastAsia"/>
                <w:sz w:val="28"/>
                <w:szCs w:val="28"/>
                <w:lang w:val="en-US" w:eastAsia="zh-CN"/>
              </w:rPr>
              <w:t>债权审查结论</w:t>
            </w:r>
            <w:r>
              <w:rPr>
                <w:rFonts w:hint="eastAsia" w:asciiTheme="minorEastAsia" w:hAnsiTheme="minorEastAsia" w:eastAsiaTheme="minorEastAsia" w:cstheme="minorEastAsia"/>
                <w:sz w:val="28"/>
                <w:szCs w:val="28"/>
              </w:rPr>
              <w:t>的，应提交债权人会议</w:t>
            </w:r>
            <w:r>
              <w:rPr>
                <w:rFonts w:hint="eastAsia" w:asciiTheme="minorEastAsia" w:hAnsiTheme="minorEastAsia" w:eastAsiaTheme="minorEastAsia" w:cstheme="minorEastAsia"/>
                <w:sz w:val="28"/>
                <w:szCs w:val="28"/>
                <w:lang w:val="en-US" w:eastAsia="zh-CN"/>
              </w:rPr>
              <w:t>再次</w:t>
            </w:r>
            <w:r>
              <w:rPr>
                <w:rFonts w:hint="eastAsia" w:asciiTheme="minorEastAsia" w:hAnsiTheme="minorEastAsia" w:eastAsiaTheme="minorEastAsia" w:cstheme="minorEastAsia"/>
                <w:sz w:val="28"/>
                <w:szCs w:val="28"/>
              </w:rPr>
              <w:t>核查；管理人不予调整或解释的，律师应告知</w:t>
            </w:r>
            <w:r>
              <w:rPr>
                <w:rFonts w:hint="eastAsia" w:asciiTheme="minorEastAsia" w:hAnsiTheme="minorEastAsia" w:eastAsiaTheme="minorEastAsia" w:cstheme="minorEastAsia"/>
                <w:sz w:val="28"/>
                <w:szCs w:val="28"/>
                <w:lang w:val="en-US" w:eastAsia="zh-CN"/>
              </w:rPr>
              <w:t>委托</w:t>
            </w:r>
            <w:r>
              <w:rPr>
                <w:rFonts w:hint="eastAsia" w:asciiTheme="minorEastAsia" w:hAnsiTheme="minorEastAsia" w:eastAsiaTheme="minorEastAsia" w:cstheme="minorEastAsia"/>
                <w:sz w:val="28"/>
                <w:szCs w:val="28"/>
              </w:rPr>
              <w:t>人可依法提起债权确认诉讼。</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6.4 对管理人暂缓确认的债权（如诉讼/仲裁未决、条件未成就等），律师应密切关注相关进展，待原因消除后及时提请管理人审查。若诉讼/仲裁结果与申报金额不一致，律师可联系管理人并依据生效法律文书提交更正材料</w:t>
            </w:r>
            <w:r>
              <w:rPr>
                <w:rFonts w:hint="eastAsia" w:asciiTheme="minorEastAsia" w:hAnsiTheme="minorEastAsia" w:eastAsiaTheme="minorEastAsia" w:cstheme="minorEastAsia"/>
                <w:sz w:val="28"/>
                <w:szCs w:val="28"/>
                <w:lang w:eastAsia="zh-CN"/>
              </w:rPr>
              <w:t>。</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0" w:hRule="atLeast"/>
        </w:trPr>
        <w:tc>
          <w:tcPr>
            <w:tcW w:w="11465" w:type="dxa"/>
            <w:gridSpan w:val="2"/>
            <w:shd w:val="clear" w:color="auto" w:fill="DBE3F4" w:themeFill="accent1" w:themeFillTint="32"/>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2610" w:rightChars="-1243" w:firstLine="0" w:firstLineChars="0"/>
              <w:jc w:val="center"/>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lang w:val="en-US" w:eastAsia="zh-CN"/>
              </w:rPr>
              <w:t>第七章 破产</w:t>
            </w:r>
            <w:r>
              <w:rPr>
                <w:rFonts w:hint="eastAsia" w:asciiTheme="minorEastAsia" w:hAnsiTheme="minorEastAsia" w:eastAsiaTheme="minorEastAsia" w:cstheme="minorEastAsia"/>
                <w:sz w:val="28"/>
                <w:szCs w:val="28"/>
                <w:vertAlign w:val="baseline"/>
              </w:rPr>
              <w:t>债权确认诉讼</w:t>
            </w:r>
            <w:r>
              <w:rPr>
                <w:rFonts w:hint="eastAsia" w:asciiTheme="minorEastAsia" w:hAnsiTheme="minorEastAsia" w:eastAsiaTheme="minorEastAsia" w:cstheme="minorEastAsia"/>
                <w:sz w:val="28"/>
                <w:szCs w:val="28"/>
                <w:vertAlign w:val="baseline"/>
                <w:lang w:eastAsia="zh-CN"/>
              </w:rPr>
              <w:t>（</w:t>
            </w:r>
            <w:r>
              <w:rPr>
                <w:rFonts w:hint="eastAsia" w:asciiTheme="minorEastAsia" w:hAnsiTheme="minorEastAsia" w:eastAsiaTheme="minorEastAsia" w:cstheme="minorEastAsia"/>
                <w:sz w:val="28"/>
                <w:szCs w:val="28"/>
                <w:vertAlign w:val="baseline"/>
                <w:lang w:val="en-US" w:eastAsia="zh-CN"/>
              </w:rPr>
              <w:t>仲裁）</w:t>
            </w:r>
          </w:p>
        </w:tc>
        <w:tc>
          <w:tcPr>
            <w:tcW w:w="3058" w:type="dxa"/>
            <w:shd w:val="clear" w:color="auto" w:fill="DBE3F4" w:themeFill="accent1" w:themeFillTint="32"/>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sz w:val="28"/>
                <w:szCs w:val="28"/>
                <w:highlight w:val="yellow"/>
                <w:lang w:val="en-US" w:eastAsia="zh-CN"/>
              </w:rPr>
            </w:pPr>
            <w:r>
              <w:rPr>
                <w:rFonts w:hint="eastAsia" w:asciiTheme="minorEastAsia" w:hAnsiTheme="minorEastAsia" w:eastAsiaTheme="minorEastAsia" w:cstheme="minorEastAsia"/>
                <w:sz w:val="28"/>
                <w:szCs w:val="28"/>
                <w:lang w:val="en-US" w:eastAsia="zh-CN"/>
              </w:rPr>
              <w:t>7.1 对债权表记载的债权有异议的，应在债权人会议核查结束后十五日内向人民法院提起债权确认诉讼</w:t>
            </w:r>
            <w:r>
              <w:rPr>
                <w:rFonts w:hint="eastAsia" w:asciiTheme="minorEastAsia" w:hAnsiTheme="minorEastAsia" w:eastAsiaTheme="minorEastAsia" w:cstheme="minorEastAsia"/>
                <w:sz w:val="28"/>
                <w:szCs w:val="28"/>
              </w:rPr>
              <w:t>。</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7.2 债权确认诉讼应向受理</w:t>
            </w:r>
            <w:r>
              <w:rPr>
                <w:rFonts w:hint="eastAsia" w:asciiTheme="minorEastAsia" w:hAnsiTheme="minorEastAsia" w:eastAsiaTheme="minorEastAsia" w:cstheme="minorEastAsia"/>
                <w:sz w:val="28"/>
                <w:szCs w:val="28"/>
              </w:rPr>
              <w:t>破产申请的人民法院</w:t>
            </w:r>
            <w:r>
              <w:rPr>
                <w:rFonts w:hint="eastAsia" w:asciiTheme="minorEastAsia" w:hAnsiTheme="minorEastAsia" w:eastAsiaTheme="minorEastAsia" w:cstheme="minorEastAsia"/>
                <w:sz w:val="28"/>
                <w:szCs w:val="28"/>
                <w:lang w:val="en-US" w:eastAsia="zh-CN"/>
              </w:rPr>
              <w:t>提出；</w:t>
            </w:r>
            <w:r>
              <w:rPr>
                <w:rFonts w:hint="eastAsia" w:asciiTheme="minorEastAsia" w:hAnsiTheme="minorEastAsia" w:eastAsiaTheme="minorEastAsia" w:cstheme="minorEastAsia"/>
                <w:sz w:val="28"/>
                <w:szCs w:val="28"/>
              </w:rPr>
              <w:t>若当事人在破产申请受理前订立有仲裁条款或仲裁协议的，应向选定的仲裁机构申请确认债权债务关系。</w:t>
            </w: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最高人民法院关于适用</w:t>
            </w:r>
            <w:r>
              <w:rPr>
                <w:rFonts w:hint="eastAsia" w:asciiTheme="minorEastAsia" w:hAnsiTheme="minorEastAsia" w:eastAsiaTheme="minorEastAsia" w:cstheme="minorEastAsia"/>
                <w:sz w:val="28"/>
                <w:szCs w:val="28"/>
                <w:lang w:val="en-US" w:eastAsia="zh-CN"/>
              </w:rPr>
              <w:t>&lt;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eastAsiaTheme="minorEastAsia" w:cstheme="minorEastAsia"/>
                <w:sz w:val="28"/>
                <w:szCs w:val="28"/>
                <w:lang w:val="en-US" w:eastAsia="zh-CN"/>
              </w:rPr>
              <w:t>&gt;</w:t>
            </w:r>
            <w:r>
              <w:rPr>
                <w:rFonts w:hint="eastAsia" w:asciiTheme="minorEastAsia" w:hAnsiTheme="minorEastAsia" w:eastAsiaTheme="minorEastAsia" w:cstheme="minorEastAsia"/>
                <w:sz w:val="28"/>
                <w:szCs w:val="28"/>
              </w:rPr>
              <w:t>若干问题的规定（三）</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（2020修正）</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法释〔2020〕18号</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第八条 债务人、债权人对债权表记载的债权有异议的，应当说明理由和法律依据。经管理人解释或调整后，异议人仍然不服的，或者管理人不予解释或调整的，异议人应当在债权人会议核查结束后十五日内向人民法院提起债权确认的诉讼。当事人之间在破产申请受理前订立有仲裁条款或仲裁协议的，应当向选定的仲裁机构申请确认债权债务关系。</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7.3 委托</w:t>
            </w:r>
            <w:r>
              <w:rPr>
                <w:rFonts w:hint="eastAsia" w:asciiTheme="minorEastAsia" w:hAnsiTheme="minorEastAsia" w:eastAsiaTheme="minorEastAsia" w:cstheme="minorEastAsia"/>
                <w:sz w:val="28"/>
                <w:szCs w:val="28"/>
              </w:rPr>
              <w:t>人对本人债权有异议的，应将债务人列为被告</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对他人债权有异议的，</w:t>
            </w:r>
            <w:r>
              <w:rPr>
                <w:rFonts w:hint="eastAsia" w:ascii="仿宋_GB2312" w:hAnsi="仿宋_GB2312" w:eastAsia="仿宋_GB2312" w:cs="仿宋_GB2312"/>
                <w:sz w:val="32"/>
                <w:szCs w:val="32"/>
                <w:lang w:val="en-US" w:eastAsia="zh-CN"/>
              </w:rPr>
              <w:t>应</w:t>
            </w:r>
            <w:r>
              <w:rPr>
                <w:rFonts w:hint="eastAsia" w:asciiTheme="minorEastAsia" w:hAnsiTheme="minorEastAsia" w:eastAsiaTheme="minorEastAsia" w:cstheme="minorEastAsia"/>
                <w:sz w:val="28"/>
                <w:szCs w:val="28"/>
              </w:rPr>
              <w:t>将被异议债权人列为被告。</w:t>
            </w:r>
          </w:p>
        </w:tc>
        <w:tc>
          <w:tcPr>
            <w:tcW w:w="7898" w:type="dxa"/>
          </w:tcPr>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最高人民法院关于适用</w:t>
            </w:r>
            <w:r>
              <w:rPr>
                <w:rFonts w:hint="eastAsia" w:asciiTheme="minorEastAsia" w:hAnsiTheme="minorEastAsia" w:eastAsiaTheme="minorEastAsia" w:cstheme="minorEastAsia"/>
                <w:sz w:val="28"/>
                <w:szCs w:val="28"/>
                <w:lang w:val="en-US" w:eastAsia="zh-CN"/>
              </w:rPr>
              <w:t>&lt;</w:t>
            </w:r>
            <w:r>
              <w:rPr>
                <w:rFonts w:hint="eastAsia" w:asciiTheme="minorEastAsia" w:hAnsiTheme="minorEastAsia" w:eastAsiaTheme="minorEastAsia" w:cstheme="minorEastAsia"/>
                <w:sz w:val="28"/>
                <w:szCs w:val="28"/>
              </w:rPr>
              <w:t>中华人民共和国企业破产法</w:t>
            </w:r>
            <w:r>
              <w:rPr>
                <w:rFonts w:hint="eastAsia" w:asciiTheme="minorEastAsia" w:hAnsiTheme="minorEastAsia" w:eastAsiaTheme="minorEastAsia" w:cstheme="minorEastAsia"/>
                <w:sz w:val="28"/>
                <w:szCs w:val="28"/>
                <w:lang w:val="en-US" w:eastAsia="zh-CN"/>
              </w:rPr>
              <w:t>&gt;</w:t>
            </w:r>
            <w:r>
              <w:rPr>
                <w:rFonts w:hint="eastAsia" w:asciiTheme="minorEastAsia" w:hAnsiTheme="minorEastAsia" w:eastAsiaTheme="minorEastAsia" w:cstheme="minorEastAsia"/>
                <w:sz w:val="28"/>
                <w:szCs w:val="28"/>
              </w:rPr>
              <w:t>若干问题的规定（三）</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（2020修正）</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法释〔2020〕18号</w:t>
            </w:r>
            <w:r>
              <w:rPr>
                <w:rFonts w:hint="eastAsia" w:asciiTheme="minorEastAsia" w:hAnsiTheme="minorEastAsia" w:eastAsiaTheme="minorEastAsia" w:cstheme="minorEastAsia"/>
                <w:sz w:val="28"/>
                <w:szCs w:val="28"/>
                <w:lang w:eastAsia="zh-CN"/>
              </w:rPr>
              <w:t>）</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第九条 债务人对债权表记载的债权有异议向人民法院提起诉讼的，应将被异议债权人列为被告。债权人对债权表记载的他人债权有异议的，应将被异议债权人列为被告；债权人对债权表记载的本人债权有异议的，应将债务人列为被告。</w:t>
            </w:r>
          </w:p>
          <w:p>
            <w:pPr>
              <w:pStyle w:val="5"/>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对同一笔债权存在多个异议人，其他异议人申请参加诉讼的，应当列为共同原告。</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lang w:val="en-US" w:eastAsia="zh-CN"/>
              </w:rPr>
              <w:t>7.4 诉讼（仲裁）请求一般包括要求确认自身债权的性质、金额；或，要求不确认他人债权的性质、金额</w:t>
            </w:r>
            <w:bookmarkStart w:id="0" w:name="_GoBack"/>
            <w:bookmarkEnd w:id="0"/>
            <w:r>
              <w:rPr>
                <w:rFonts w:hint="eastAsia" w:asciiTheme="minorEastAsia" w:hAnsiTheme="minorEastAsia" w:eastAsiaTheme="minorEastAsia" w:cstheme="minorEastAsia"/>
                <w:sz w:val="28"/>
                <w:szCs w:val="28"/>
                <w:lang w:val="en-US" w:eastAsia="zh-CN"/>
              </w:rPr>
              <w:t>；或其他。</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0" w:hRule="atLeast"/>
        </w:trPr>
        <w:tc>
          <w:tcPr>
            <w:tcW w:w="11465" w:type="dxa"/>
            <w:gridSpan w:val="2"/>
            <w:shd w:val="clear" w:color="auto" w:fill="DBE3F4" w:themeFill="accent1" w:themeFillTint="32"/>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2610" w:rightChars="-1243" w:firstLine="0" w:firstLineChars="0"/>
              <w:jc w:val="center"/>
              <w:textAlignment w:val="auto"/>
              <w:rPr>
                <w:rFonts w:hint="eastAsia" w:asciiTheme="minorEastAsia" w:hAnsiTheme="minorEastAsia" w:eastAsiaTheme="minorEastAsia" w:cstheme="minorEastAsia"/>
                <w:sz w:val="28"/>
                <w:szCs w:val="28"/>
                <w:vertAlign w:val="baseline"/>
              </w:rPr>
            </w:pPr>
            <w:r>
              <w:rPr>
                <w:rFonts w:hint="eastAsia" w:asciiTheme="minorEastAsia" w:hAnsiTheme="minorEastAsia" w:eastAsiaTheme="minorEastAsia" w:cstheme="minorEastAsia"/>
                <w:sz w:val="28"/>
                <w:szCs w:val="28"/>
                <w:vertAlign w:val="baseline"/>
                <w:lang w:val="en-US" w:eastAsia="zh-CN"/>
              </w:rPr>
              <w:t>第八章 附则</w:t>
            </w:r>
          </w:p>
        </w:tc>
        <w:tc>
          <w:tcPr>
            <w:tcW w:w="3058" w:type="dxa"/>
            <w:shd w:val="clear" w:color="auto" w:fill="DBE3F4" w:themeFill="accent1" w:themeFillTint="32"/>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67" w:type="dxa"/>
          </w:tcPr>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heme="minorEastAsia" w:hAnsiTheme="minorEastAsia" w:eastAsiaTheme="minorEastAsia" w:cstheme="minorEastAsia"/>
                <w:b/>
                <w:bCs/>
                <w:sz w:val="28"/>
                <w:szCs w:val="28"/>
                <w:vertAlign w:val="baseline"/>
              </w:rPr>
            </w:pPr>
            <w:r>
              <w:rPr>
                <w:rFonts w:hint="eastAsia" w:asciiTheme="minorEastAsia" w:hAnsiTheme="minorEastAsia" w:eastAsiaTheme="minorEastAsia" w:cstheme="minorEastAsia"/>
                <w:sz w:val="28"/>
                <w:szCs w:val="28"/>
                <w:highlight w:val="none"/>
                <w:lang w:val="en-US" w:eastAsia="zh-CN"/>
              </w:rPr>
              <w:t>8.1本指引根据2026年</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lang w:val="en-US" w:eastAsia="zh-CN"/>
              </w:rPr>
              <w:t>月3</w:t>
            </w:r>
            <w:r>
              <w:rPr>
                <w:rFonts w:hint="eastAsia" w:asciiTheme="minorEastAsia" w:hAnsiTheme="minorEastAsia" w:cs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lang w:val="en-US" w:eastAsia="zh-CN"/>
              </w:rPr>
              <w:t>日以前的法律、法规等规定，结合相关司法操作实践编写，若本指引公布后，法律、法规、司法解释有新规定的，应以新的规定为依据</w:t>
            </w:r>
            <w:r>
              <w:rPr>
                <w:rFonts w:hint="eastAsia" w:asciiTheme="minorEastAsia" w:hAnsiTheme="minorEastAsia" w:eastAsiaTheme="minorEastAsia" w:cstheme="minorEastAsia"/>
                <w:sz w:val="28"/>
                <w:szCs w:val="28"/>
              </w:rPr>
              <w:t>。</w:t>
            </w:r>
          </w:p>
        </w:tc>
        <w:tc>
          <w:tcPr>
            <w:tcW w:w="789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c>
          <w:tcPr>
            <w:tcW w:w="3058" w:type="dxa"/>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sz w:val="28"/>
                <w:szCs w:val="28"/>
                <w:vertAlign w:val="baseline"/>
              </w:rPr>
            </w:pPr>
          </w:p>
        </w:tc>
      </w:tr>
    </w:tbl>
    <w:p>
      <w:pPr>
        <w:rPr>
          <w:rFonts w:hint="eastAsia" w:asciiTheme="minorEastAsia" w:hAnsiTheme="minorEastAsia" w:eastAsiaTheme="minorEastAsia" w:cstheme="minorEastAsia"/>
          <w:sz w:val="28"/>
          <w:szCs w:val="28"/>
        </w:rPr>
      </w:pPr>
    </w:p>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Heiti SC Medium">
    <w:panose1 w:val="02000000000000000000"/>
    <w:charset w:val="86"/>
    <w:family w:val="auto"/>
    <w:pitch w:val="default"/>
    <w:sig w:usb0="8000002F" w:usb1="0800004A" w:usb2="00000000" w:usb3="00000000" w:csb0="203E0000" w:csb1="00000000"/>
  </w:font>
  <w:font w:name="华文仿宋">
    <w:panose1 w:val="02010600040101010101"/>
    <w:charset w:val="86"/>
    <w:family w:val="auto"/>
    <w:pitch w:val="default"/>
    <w:sig w:usb0="00000287" w:usb1="080F0000" w:usb2="00000000" w:usb3="00000000" w:csb0="0004009F" w:csb1="DFD70000"/>
  </w:font>
  <w:font w:name="DejaVu Sans">
    <w:altName w:val="苹方-简"/>
    <w:panose1 w:val="02020603050405020304"/>
    <w:charset w:val="00"/>
    <w:family w:val="roman"/>
    <w:pitch w:val="default"/>
    <w:sig w:usb0="00000000" w:usb1="00000000" w:usb2="00000008" w:usb3="00000000" w:csb0="000001FF" w:csb1="00000000"/>
  </w:font>
  <w:font w:name="仿宋_GB2312">
    <w:panose1 w:val="02010609030101010101"/>
    <w:charset w:val="86"/>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D8F7F3A"/>
    <w:rsid w:val="2E6F51CC"/>
    <w:rsid w:val="2FB84770"/>
    <w:rsid w:val="3FDFA4B8"/>
    <w:rsid w:val="3FF6D449"/>
    <w:rsid w:val="43FF2571"/>
    <w:rsid w:val="457F52FB"/>
    <w:rsid w:val="4BBE1825"/>
    <w:rsid w:val="4FEB2585"/>
    <w:rsid w:val="55FD1ECD"/>
    <w:rsid w:val="5AFB46DD"/>
    <w:rsid w:val="5BEF1ABC"/>
    <w:rsid w:val="5F7D7B64"/>
    <w:rsid w:val="65E9B9FB"/>
    <w:rsid w:val="6BFB954E"/>
    <w:rsid w:val="6F77C472"/>
    <w:rsid w:val="6F7F8B62"/>
    <w:rsid w:val="6FAD2DF5"/>
    <w:rsid w:val="7577E623"/>
    <w:rsid w:val="76BB8E83"/>
    <w:rsid w:val="7763C5AB"/>
    <w:rsid w:val="777B7B55"/>
    <w:rsid w:val="79FB7B2A"/>
    <w:rsid w:val="7DE71475"/>
    <w:rsid w:val="7DF55753"/>
    <w:rsid w:val="7E739CA1"/>
    <w:rsid w:val="7FCD0DA1"/>
    <w:rsid w:val="7FFA9585"/>
    <w:rsid w:val="95FF5B6E"/>
    <w:rsid w:val="AFDD1D7B"/>
    <w:rsid w:val="B7EB2F71"/>
    <w:rsid w:val="BB7636F3"/>
    <w:rsid w:val="D35C183B"/>
    <w:rsid w:val="D578EA66"/>
    <w:rsid w:val="DB272806"/>
    <w:rsid w:val="DD8F7F3A"/>
    <w:rsid w:val="DFEB3E75"/>
    <w:rsid w:val="DFED0BFF"/>
    <w:rsid w:val="DFFD462A"/>
    <w:rsid w:val="DFFF7EC4"/>
    <w:rsid w:val="EF6FB1E2"/>
    <w:rsid w:val="F1FDD7C5"/>
    <w:rsid w:val="F5F7C230"/>
    <w:rsid w:val="F67FE146"/>
    <w:rsid w:val="F78F4633"/>
    <w:rsid w:val="FB7737F9"/>
    <w:rsid w:val="FCEF46D6"/>
    <w:rsid w:val="FDE7F552"/>
    <w:rsid w:val="FDFD85B4"/>
    <w:rsid w:val="FE3FF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120" w:line="520" w:lineRule="exact"/>
      <w:ind w:firstLine="643" w:firstLineChars="200"/>
      <w:outlineLvl w:val="0"/>
    </w:pPr>
    <w:rPr>
      <w:rFonts w:ascii="STFangsong" w:hAnsi="STFangsong" w:eastAsia="Heiti SC Medium" w:cs="华文仿宋"/>
      <w:b/>
      <w:kern w:val="44"/>
      <w:sz w:val="32"/>
      <w:szCs w:val="28"/>
    </w:rPr>
  </w:style>
  <w:style w:type="paragraph" w:styleId="3">
    <w:name w:val="heading 2"/>
    <w:basedOn w:val="1"/>
    <w:next w:val="1"/>
    <w:unhideWhenUsed/>
    <w:qFormat/>
    <w:uiPriority w:val="0"/>
    <w:pPr>
      <w:keepNext/>
      <w:keepLines/>
      <w:spacing w:beforeLines="0" w:beforeAutospacing="0" w:afterLines="0" w:afterAutospacing="0" w:line="520" w:lineRule="exact"/>
      <w:ind w:firstLine="643" w:firstLineChars="200"/>
      <w:outlineLvl w:val="1"/>
    </w:pPr>
    <w:rPr>
      <w:rFonts w:ascii="DejaVu Sans" w:hAnsi="DejaVu Sans" w:eastAsia="STFangsong"/>
      <w:b/>
      <w:sz w:val="28"/>
    </w:rPr>
  </w:style>
  <w:style w:type="paragraph" w:styleId="4">
    <w:name w:val="heading 3"/>
    <w:basedOn w:val="1"/>
    <w:next w:val="1"/>
    <w:unhideWhenUsed/>
    <w:qFormat/>
    <w:uiPriority w:val="0"/>
    <w:pPr>
      <w:keepNext/>
      <w:keepLines/>
      <w:spacing w:line="520" w:lineRule="exact"/>
      <w:ind w:firstLine="643" w:firstLineChars="200"/>
      <w:outlineLvl w:val="2"/>
    </w:pPr>
    <w:rPr>
      <w:rFonts w:ascii="STFangsong" w:hAnsi="STFangsong" w:eastAsia="STFangsong"/>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Office_6.3.0.8471_F1E327BC-269C-435d-A152-05C5408002CA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2025-06-12T18:14:00Z</dcterms:created>
  <dc:creator>袁新婷</dc:creator>
  <cp:lastModifiedBy>袁新婷</cp:lastModifiedBy>
  <dcterms:modified xsi:type="dcterms:W3CDTF">2026-11-03T16:25:36Z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2052-6.3.0.8471</vt:lpwstr>
  </property>
  <property fmtid="{D5CDD505-2E9C-101B-9397-08002B2CF9AE}" pid="3" name="ICV">
    <vt:lpwstr>0763C1CE9D849FB337EA666AE65A665C_43</vt:lpwstr>
  </property>
</Properties>
</file>