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08A1A">
      <w:pPr>
        <w:rPr>
          <w:rFonts w:hint="eastAsia" w:ascii="Times New Roman" w:hAnsi="Times New Roman"/>
          <w:b/>
          <w:color w:val="333399"/>
          <w:sz w:val="44"/>
          <w:szCs w:val="44"/>
        </w:rPr>
      </w:pPr>
    </w:p>
    <w:p w14:paraId="08AEDD77">
      <w:pPr>
        <w:ind w:firstLine="442" w:firstLineChars="100"/>
        <w:rPr>
          <w:rFonts w:ascii="Times New Roman" w:hAnsi="Times New Roman"/>
          <w:b/>
          <w:color w:val="333399"/>
          <w:sz w:val="44"/>
          <w:szCs w:val="44"/>
        </w:rPr>
      </w:pPr>
    </w:p>
    <w:p w14:paraId="3772E5CA">
      <w:pPr>
        <w:ind w:firstLine="442" w:firstLineChars="100"/>
        <w:rPr>
          <w:rFonts w:ascii="Times New Roman" w:hAnsi="Times New Roman"/>
          <w:b/>
          <w:color w:val="333399"/>
          <w:sz w:val="44"/>
          <w:szCs w:val="44"/>
        </w:rPr>
      </w:pPr>
      <w:r>
        <w:rPr>
          <w:rFonts w:ascii="Times New Roman" w:hAnsi="Times New Roman" w:eastAsia="黑体"/>
          <w:b/>
          <w:bCs/>
          <w:sz w:val="44"/>
          <w:szCs w:val="44"/>
        </w:rPr>
        <w:drawing>
          <wp:anchor distT="0" distB="0" distL="114300" distR="114300" simplePos="0" relativeHeight="251662336" behindDoc="0" locked="0" layoutInCell="1" allowOverlap="1">
            <wp:simplePos x="0" y="0"/>
            <wp:positionH relativeFrom="column">
              <wp:posOffset>319405</wp:posOffset>
            </wp:positionH>
            <wp:positionV relativeFrom="paragraph">
              <wp:posOffset>175895</wp:posOffset>
            </wp:positionV>
            <wp:extent cx="928370" cy="893445"/>
            <wp:effectExtent l="0" t="0" r="11430" b="20955"/>
            <wp:wrapSquare wrapText="bothSides"/>
            <wp:docPr id="1" name="图片 4" descr="8b033dc616ee12e8505e16acb99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8b033dc616ee12e8505e16acb991300"/>
                    <pic:cNvPicPr>
                      <a:picLocks noChangeAspect="1"/>
                    </pic:cNvPicPr>
                  </pic:nvPicPr>
                  <pic:blipFill>
                    <a:blip r:embed="rId7"/>
                    <a:stretch>
                      <a:fillRect/>
                    </a:stretch>
                  </pic:blipFill>
                  <pic:spPr>
                    <a:xfrm>
                      <a:off x="0" y="0"/>
                      <a:ext cx="928370" cy="893445"/>
                    </a:xfrm>
                    <a:prstGeom prst="rect">
                      <a:avLst/>
                    </a:prstGeom>
                    <a:noFill/>
                    <a:ln>
                      <a:noFill/>
                    </a:ln>
                  </pic:spPr>
                </pic:pic>
              </a:graphicData>
            </a:graphic>
          </wp:anchor>
        </w:drawing>
      </w:r>
    </w:p>
    <w:p w14:paraId="4DE63BC4">
      <w:pPr>
        <w:rPr>
          <w:rFonts w:ascii="Times New Roman" w:hAnsi="Times New Roman" w:eastAsia="黑体"/>
          <w:b/>
          <w:sz w:val="30"/>
          <w:szCs w:val="30"/>
        </w:rPr>
      </w:pPr>
      <w:r>
        <w:rPr>
          <w:rFonts w:ascii="Times New Roman" w:hAnsi="Times New Roman" w:eastAsia="黑体"/>
          <w:b/>
          <w:color w:val="333399"/>
          <w:sz w:val="30"/>
          <w:szCs w:val="30"/>
        </w:rPr>
        <w:t>辽宁省律师协会金融与保险法律专业委员会</w:t>
      </w:r>
    </w:p>
    <w:p w14:paraId="148FAFB0">
      <w:pPr>
        <w:spacing w:after="156" w:afterLines="50" w:line="360" w:lineRule="auto"/>
        <w:rPr>
          <w:rFonts w:ascii="Times New Roman" w:hAnsi="Times New Roman"/>
          <w:b/>
          <w:color w:val="333399"/>
        </w:rPr>
      </w:pPr>
    </w:p>
    <w:p w14:paraId="6753B27A">
      <w:pPr>
        <w:spacing w:after="156" w:afterLines="50" w:line="360" w:lineRule="auto"/>
        <w:rPr>
          <w:rFonts w:ascii="Times New Roman" w:hAnsi="Times New Roman"/>
          <w:b/>
          <w:color w:val="333399"/>
        </w:rPr>
      </w:pPr>
      <w:r>
        <w:rPr>
          <w:rFonts w:ascii="Times New Roman" w:hAnsi="Times New Roman"/>
          <w:b/>
          <w:color w:val="333399"/>
        </w:rPr>
        <w:drawing>
          <wp:anchor distT="0" distB="0" distL="114300" distR="114300" simplePos="0" relativeHeight="251661312" behindDoc="1" locked="0" layoutInCell="1" allowOverlap="1">
            <wp:simplePos x="0" y="0"/>
            <wp:positionH relativeFrom="column">
              <wp:posOffset>263525</wp:posOffset>
            </wp:positionH>
            <wp:positionV relativeFrom="paragraph">
              <wp:posOffset>27940</wp:posOffset>
            </wp:positionV>
            <wp:extent cx="1045210" cy="1104900"/>
            <wp:effectExtent l="0" t="0" r="21590" b="12700"/>
            <wp:wrapTight wrapText="bothSides">
              <wp:wrapPolygon>
                <wp:start x="0" y="0"/>
                <wp:lineTo x="0" y="21352"/>
                <wp:lineTo x="20996" y="21352"/>
                <wp:lineTo x="20996" y="0"/>
                <wp:lineTo x="0" y="0"/>
              </wp:wrapPolygon>
            </wp:wrapTight>
            <wp:docPr id="3" name="图片 3" descr="d994e31e110a342b033d5f285961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994e31e110a342b033d5f285961dae"/>
                    <pic:cNvPicPr>
                      <a:picLocks noChangeAspect="1"/>
                    </pic:cNvPicPr>
                  </pic:nvPicPr>
                  <pic:blipFill>
                    <a:blip r:embed="rId8"/>
                    <a:srcRect l="11789" r="12602" b="3822"/>
                    <a:stretch>
                      <a:fillRect/>
                    </a:stretch>
                  </pic:blipFill>
                  <pic:spPr>
                    <a:xfrm>
                      <a:off x="0" y="0"/>
                      <a:ext cx="1045210" cy="1104900"/>
                    </a:xfrm>
                    <a:prstGeom prst="rect">
                      <a:avLst/>
                    </a:prstGeom>
                    <a:noFill/>
                    <a:ln>
                      <a:noFill/>
                    </a:ln>
                  </pic:spPr>
                </pic:pic>
              </a:graphicData>
            </a:graphic>
          </wp:anchor>
        </w:drawing>
      </w:r>
    </w:p>
    <w:p w14:paraId="10F2CD5D">
      <w:pPr>
        <w:rPr>
          <w:rFonts w:ascii="Times New Roman" w:hAnsi="Times New Roman" w:eastAsia="黑体"/>
          <w:b/>
          <w:color w:val="333399"/>
          <w:sz w:val="30"/>
          <w:szCs w:val="30"/>
        </w:rPr>
      </w:pPr>
      <w:r>
        <w:rPr>
          <w:rFonts w:ascii="Times New Roman" w:hAnsi="Times New Roman" w:eastAsia="黑体"/>
          <w:b/>
          <w:color w:val="333399"/>
          <w:sz w:val="30"/>
          <w:szCs w:val="30"/>
        </w:rPr>
        <w:t>大连市律师协会证券期货法律专业委员会</w:t>
      </w:r>
    </w:p>
    <w:p w14:paraId="4DBD107F">
      <w:pPr>
        <w:ind w:firstLine="442" w:firstLineChars="100"/>
        <w:rPr>
          <w:rFonts w:ascii="Times New Roman" w:hAnsi="Times New Roman"/>
          <w:b/>
          <w:color w:val="333399"/>
          <w:sz w:val="44"/>
          <w:szCs w:val="44"/>
        </w:rPr>
      </w:pPr>
    </w:p>
    <w:p w14:paraId="692EBC50">
      <w:pPr>
        <w:jc w:val="center"/>
        <w:rPr>
          <w:rFonts w:ascii="Times New Roman" w:hAnsi="Times New Roman" w:eastAsia="黑体"/>
          <w:b/>
          <w:color w:val="FF0000"/>
          <w:sz w:val="52"/>
          <w:szCs w:val="52"/>
        </w:rPr>
      </w:pPr>
      <w:r>
        <w:rPr>
          <w:rFonts w:ascii="Times New Roman" w:hAnsi="Times New Roman" w:eastAsia="黑体"/>
          <w:b/>
          <w:color w:val="FF0000"/>
          <w:sz w:val="52"/>
          <w:szCs w:val="52"/>
        </w:rPr>
        <w:t>资本市场信息</w:t>
      </w:r>
    </w:p>
    <w:p w14:paraId="40FB43A5">
      <w:pPr>
        <w:jc w:val="center"/>
        <w:rPr>
          <w:rFonts w:ascii="Times New Roman" w:hAnsi="Times New Roman"/>
          <w:b/>
          <w:sz w:val="32"/>
          <w:szCs w:val="32"/>
        </w:rPr>
      </w:pPr>
    </w:p>
    <w:p w14:paraId="025EF114">
      <w:pPr>
        <w:spacing w:line="480" w:lineRule="auto"/>
        <w:jc w:val="center"/>
        <w:rPr>
          <w:rFonts w:ascii="Times New Roman" w:hAnsi="Times New Roman" w:eastAsia="黑体"/>
          <w:b/>
          <w:bCs/>
        </w:rPr>
      </w:pPr>
      <w:r>
        <w:rPr>
          <w:rFonts w:ascii="Times New Roman" w:hAnsi="Times New Roman" w:eastAsia="黑体"/>
          <w:b/>
          <w:bCs/>
        </w:rPr>
        <w:t>202</w:t>
      </w:r>
      <w:r>
        <w:rPr>
          <w:rFonts w:hint="eastAsia" w:ascii="Times New Roman" w:hAnsi="Times New Roman" w:eastAsia="黑体"/>
          <w:b/>
          <w:bCs/>
        </w:rPr>
        <w:t>6</w:t>
      </w:r>
      <w:r>
        <w:rPr>
          <w:rFonts w:ascii="Times New Roman" w:hAnsi="Times New Roman" w:eastAsia="黑体"/>
          <w:b/>
          <w:bCs/>
        </w:rPr>
        <w:t>年第</w:t>
      </w:r>
      <w:r>
        <w:rPr>
          <w:rFonts w:hint="eastAsia" w:ascii="Times New Roman" w:hAnsi="Times New Roman" w:eastAsia="黑体"/>
          <w:b/>
          <w:bCs/>
        </w:rPr>
        <w:t>9</w:t>
      </w:r>
      <w:r>
        <w:rPr>
          <w:rFonts w:ascii="Times New Roman" w:hAnsi="Times New Roman" w:eastAsia="黑体"/>
          <w:b/>
          <w:bCs/>
        </w:rPr>
        <w:t>期</w:t>
      </w:r>
    </w:p>
    <w:p w14:paraId="0F534178">
      <w:pPr>
        <w:spacing w:line="480" w:lineRule="auto"/>
        <w:jc w:val="center"/>
        <w:rPr>
          <w:rFonts w:ascii="Times New Roman" w:hAnsi="Times New Roman" w:eastAsia="黑体"/>
          <w:b/>
          <w:bCs/>
        </w:rPr>
      </w:pPr>
      <w:r>
        <mc:AlternateContent>
          <mc:Choice Requires="wps">
            <w:drawing>
              <wp:anchor distT="0" distB="0" distL="114300" distR="114300" simplePos="0" relativeHeight="251660288" behindDoc="0" locked="0" layoutInCell="1" allowOverlap="1">
                <wp:simplePos x="0" y="0"/>
                <wp:positionH relativeFrom="margin">
                  <wp:posOffset>89535</wp:posOffset>
                </wp:positionH>
                <wp:positionV relativeFrom="paragraph">
                  <wp:posOffset>2434590</wp:posOffset>
                </wp:positionV>
                <wp:extent cx="5674360" cy="1234440"/>
                <wp:effectExtent l="6350" t="6350" r="8890" b="29210"/>
                <wp:wrapSquare wrapText="bothSides"/>
                <wp:docPr id="5" name="文本框 5"/>
                <wp:cNvGraphicFramePr/>
                <a:graphic xmlns:a="http://schemas.openxmlformats.org/drawingml/2006/main">
                  <a:graphicData uri="http://schemas.microsoft.com/office/word/2010/wordprocessingShape">
                    <wps:wsp>
                      <wps:cNvSpPr txBox="1"/>
                      <wps:spPr>
                        <a:xfrm>
                          <a:off x="0" y="0"/>
                          <a:ext cx="5674360" cy="1234440"/>
                        </a:xfrm>
                        <a:prstGeom prst="rect">
                          <a:avLst/>
                        </a:prstGeom>
                        <a:solidFill>
                          <a:srgbClr val="FFFFFF"/>
                        </a:solidFill>
                        <a:ln w="12700" cap="flat" cmpd="sng">
                          <a:solidFill>
                            <a:srgbClr val="1313AD"/>
                          </a:solidFill>
                          <a:prstDash val="solid"/>
                          <a:miter/>
                          <a:headEnd type="none" w="med" len="med"/>
                          <a:tailEnd type="none" w="med" len="med"/>
                        </a:ln>
                      </wps:spPr>
                      <wps:txbx>
                        <w:txbxContent>
                          <w:p w14:paraId="4B57CC23">
                            <w:pPr>
                              <w:rPr>
                                <w:rFonts w:ascii="黑体" w:hAnsi="黑体" w:eastAsia="黑体" w:cs="黑体"/>
                                <w:b/>
                                <w:color w:val="333399"/>
                                <w:sz w:val="21"/>
                                <w:szCs w:val="21"/>
                              </w:rPr>
                            </w:pPr>
                            <w:r>
                              <w:rPr>
                                <w:rFonts w:hint="eastAsia" w:ascii="黑体" w:hAnsi="黑体" w:eastAsia="黑体" w:cs="黑体"/>
                                <w:b/>
                                <w:color w:val="333399"/>
                                <w:sz w:val="21"/>
                                <w:szCs w:val="21"/>
                              </w:rPr>
                              <w:t>特别声明：本信息简报所载内容均来自国内报刊、专业网站已发表的文章。在任何情形下，本信息简报均不可作为法律意见、作出行动或制止行动的依据。</w:t>
                            </w:r>
                          </w:p>
                          <w:p w14:paraId="023F4844">
                            <w:pPr>
                              <w:rPr>
                                <w:rFonts w:ascii="黑体" w:hAnsi="黑体" w:eastAsia="黑体" w:cs="黑体"/>
                                <w:b/>
                                <w:color w:val="333399"/>
                                <w:sz w:val="21"/>
                                <w:szCs w:val="21"/>
                              </w:rPr>
                            </w:pPr>
                          </w:p>
                          <w:p w14:paraId="50C3FB3F">
                            <w:pPr>
                              <w:rPr>
                                <w:rFonts w:ascii="黑体" w:hAnsi="黑体" w:eastAsia="黑体" w:cs="黑体"/>
                                <w:b/>
                                <w:color w:val="333399"/>
                                <w:sz w:val="21"/>
                                <w:szCs w:val="21"/>
                              </w:rPr>
                            </w:pPr>
                            <w:r>
                              <w:rPr>
                                <w:rFonts w:hint="eastAsia" w:ascii="黑体" w:hAnsi="黑体" w:eastAsia="黑体" w:cs="黑体"/>
                                <w:b/>
                                <w:color w:val="333399"/>
                                <w:sz w:val="21"/>
                                <w:szCs w:val="21"/>
                              </w:rPr>
                              <w:t>版权保护：本信息简报由辽宁省律师协会金融与保险法律专业委员会、大连市律师协会证券期货法律专业委员会共同编辑并发布。任何有关本信息简报的转载或摘编，请注明出处。</w:t>
                            </w:r>
                          </w:p>
                        </w:txbxContent>
                      </wps:txbx>
                      <wps:bodyPr upright="1"/>
                    </wps:wsp>
                  </a:graphicData>
                </a:graphic>
              </wp:anchor>
            </w:drawing>
          </mc:Choice>
          <mc:Fallback>
            <w:pict>
              <v:shape id="_x0000_s1026" o:spid="_x0000_s1026" o:spt="202" type="#_x0000_t202" style="position:absolute;left:0pt;margin-left:7.05pt;margin-top:191.7pt;height:97.2pt;width:446.8pt;mso-position-horizontal-relative:margin;mso-wrap-distance-bottom:0pt;mso-wrap-distance-left:9pt;mso-wrap-distance-right:9pt;mso-wrap-distance-top:0pt;z-index:251660288;mso-width-relative:page;mso-height-relative:page;" fillcolor="#FFFFFF" filled="t" stroked="t" coordsize="21600,21600" o:gfxdata="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KF4vI2QAAAAoBAAAPAAAAAAAAAAEA&#10;IAAAACIAAABkcnMvZG93bnJldi54bWxQSwECFAAUAAAACACHTuJAIejIgw4CAAA4BAAADgAAAAAA&#10;AAABACAAAAAoAQAAZHJzL2Uyb0RvYy54bWxQSwUGAAAAAAYABgBZAQAAqAUAAAAA&#10;">
                <v:fill on="t" focussize="0,0"/>
                <v:stroke weight="1pt" color="#1313AD" joinstyle="miter"/>
                <v:imagedata o:title=""/>
                <o:lock v:ext="edit" aspectratio="f"/>
                <v:textbox>
                  <w:txbxContent>
                    <w:p w14:paraId="4B57CC23">
                      <w:pPr>
                        <w:rPr>
                          <w:rFonts w:ascii="黑体" w:hAnsi="黑体" w:eastAsia="黑体" w:cs="黑体"/>
                          <w:b/>
                          <w:color w:val="333399"/>
                          <w:sz w:val="21"/>
                          <w:szCs w:val="21"/>
                        </w:rPr>
                      </w:pPr>
                      <w:r>
                        <w:rPr>
                          <w:rFonts w:hint="eastAsia" w:ascii="黑体" w:hAnsi="黑体" w:eastAsia="黑体" w:cs="黑体"/>
                          <w:b/>
                          <w:color w:val="333399"/>
                          <w:sz w:val="21"/>
                          <w:szCs w:val="21"/>
                        </w:rPr>
                        <w:t>特别声明：本信息简报所载内容均来自国内报刊、专业网站已发表的文章。在任何情形下，本信息简报均不可作为法律意见、作出行动或制止行动的依据。</w:t>
                      </w:r>
                    </w:p>
                    <w:p w14:paraId="023F4844">
                      <w:pPr>
                        <w:rPr>
                          <w:rFonts w:ascii="黑体" w:hAnsi="黑体" w:eastAsia="黑体" w:cs="黑体"/>
                          <w:b/>
                          <w:color w:val="333399"/>
                          <w:sz w:val="21"/>
                          <w:szCs w:val="21"/>
                        </w:rPr>
                      </w:pPr>
                    </w:p>
                    <w:p w14:paraId="50C3FB3F">
                      <w:pPr>
                        <w:rPr>
                          <w:rFonts w:ascii="黑体" w:hAnsi="黑体" w:eastAsia="黑体" w:cs="黑体"/>
                          <w:b/>
                          <w:color w:val="333399"/>
                          <w:sz w:val="21"/>
                          <w:szCs w:val="21"/>
                        </w:rPr>
                      </w:pPr>
                      <w:r>
                        <w:rPr>
                          <w:rFonts w:hint="eastAsia" w:ascii="黑体" w:hAnsi="黑体" w:eastAsia="黑体" w:cs="黑体"/>
                          <w:b/>
                          <w:color w:val="333399"/>
                          <w:sz w:val="21"/>
                          <w:szCs w:val="21"/>
                        </w:rPr>
                        <w:t>版权保护：本信息简报由辽宁省律师协会金融与保险法律专业委员会、大连市律师协会证券期货法律专业委员会共同编辑并发布。任何有关本信息简报的转载或摘编，请注明出处。</w:t>
                      </w:r>
                    </w:p>
                  </w:txbxContent>
                </v:textbox>
                <w10:wrap type="square"/>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1126490</wp:posOffset>
                </wp:positionH>
                <wp:positionV relativeFrom="paragraph">
                  <wp:posOffset>473710</wp:posOffset>
                </wp:positionV>
                <wp:extent cx="4003675" cy="1653540"/>
                <wp:effectExtent l="0" t="0" r="0" b="0"/>
                <wp:wrapSquare wrapText="bothSides"/>
                <wp:docPr id="4" name="文本框 4"/>
                <wp:cNvGraphicFramePr/>
                <a:graphic xmlns:a="http://schemas.openxmlformats.org/drawingml/2006/main">
                  <a:graphicData uri="http://schemas.microsoft.com/office/word/2010/wordprocessingShape">
                    <wps:wsp>
                      <wps:cNvSpPr txBox="1"/>
                      <wps:spPr>
                        <a:xfrm>
                          <a:off x="0" y="0"/>
                          <a:ext cx="4003675" cy="1653540"/>
                        </a:xfrm>
                        <a:prstGeom prst="rect">
                          <a:avLst/>
                        </a:prstGeom>
                        <a:noFill/>
                        <a:ln>
                          <a:noFill/>
                        </a:ln>
                      </wps:spPr>
                      <wps:txbx>
                        <w:txbxContent>
                          <w:p w14:paraId="1EE8AEB5">
                            <w:pPr>
                              <w:pStyle w:val="6"/>
                              <w:spacing w:after="0" w:line="360" w:lineRule="auto"/>
                              <w:rPr>
                                <w:rFonts w:ascii="黑体" w:hAnsi="黑体" w:eastAsia="黑体" w:cs="黑体"/>
                                <w:color w:val="auto"/>
                                <w:szCs w:val="24"/>
                              </w:rPr>
                            </w:pPr>
                          </w:p>
                          <w:p w14:paraId="5F8312F8">
                            <w:pPr>
                              <w:pStyle w:val="6"/>
                              <w:spacing w:after="0" w:line="360" w:lineRule="auto"/>
                              <w:rPr>
                                <w:rFonts w:ascii="黑体" w:hAnsi="黑体" w:eastAsia="黑体" w:cs="黑体"/>
                                <w:color w:val="auto"/>
                                <w:szCs w:val="24"/>
                              </w:rPr>
                            </w:pPr>
                            <w:r>
                              <w:rPr>
                                <w:rFonts w:hint="eastAsia" w:ascii="黑体" w:hAnsi="黑体" w:eastAsia="黑体" w:cs="黑体"/>
                                <w:color w:val="auto"/>
                                <w:szCs w:val="24"/>
                              </w:rPr>
                              <w:t>本期编辑：郭政轩 北京大成（大连）律师事务所</w:t>
                            </w:r>
                          </w:p>
                          <w:p w14:paraId="427B9D4B">
                            <w:pPr>
                              <w:pStyle w:val="6"/>
                              <w:spacing w:after="0" w:line="360" w:lineRule="auto"/>
                              <w:ind w:left="1200"/>
                              <w:rPr>
                                <w:rFonts w:ascii="黑体" w:hAnsi="黑体" w:eastAsia="黑体" w:cs="黑体"/>
                                <w:color w:val="auto"/>
                                <w:szCs w:val="24"/>
                              </w:rPr>
                            </w:pPr>
                            <w:r>
                              <w:rPr>
                                <w:rFonts w:hint="eastAsia" w:ascii="黑体" w:hAnsi="黑体" w:eastAsia="黑体" w:cs="黑体"/>
                                <w:color w:val="auto"/>
                                <w:szCs w:val="24"/>
                              </w:rPr>
                              <w:t>邵筱童 北京大成（大连）律师事务所</w:t>
                            </w:r>
                          </w:p>
                          <w:p w14:paraId="1B4E20FD">
                            <w:pPr>
                              <w:pStyle w:val="6"/>
                              <w:spacing w:after="0" w:line="360" w:lineRule="auto"/>
                              <w:rPr>
                                <w:rFonts w:ascii="Arial Black" w:hAnsi="Arial Black"/>
                                <w:b/>
                                <w:bCs/>
                                <w:color w:val="333399"/>
                                <w:sz w:val="21"/>
                                <w:szCs w:val="21"/>
                              </w:rPr>
                            </w:pPr>
                            <w:r>
                              <w:rPr>
                                <w:rFonts w:hint="eastAsia" w:ascii="黑体" w:hAnsi="黑体" w:eastAsia="黑体" w:cs="黑体"/>
                                <w:color w:val="auto"/>
                                <w:szCs w:val="24"/>
                              </w:rPr>
                              <w:t>责任编辑：</w:t>
                            </w:r>
                            <w:r>
                              <w:rPr>
                                <w:rFonts w:hint="eastAsia" w:ascii="黑体" w:hAnsi="黑体" w:eastAsia="黑体" w:cs="黑体"/>
                                <w:color w:val="auto"/>
                                <w:szCs w:val="24"/>
                                <w:lang w:val="en-US" w:eastAsia="zh-CN"/>
                              </w:rPr>
                              <w:t>潘晓黎 北京观韬（大连）律师事务所</w:t>
                            </w:r>
                          </w:p>
                        </w:txbxContent>
                      </wps:txbx>
                      <wps:bodyPr upright="1"/>
                    </wps:wsp>
                  </a:graphicData>
                </a:graphic>
              </wp:anchor>
            </w:drawing>
          </mc:Choice>
          <mc:Fallback>
            <w:pict>
              <v:shape id="_x0000_s1026" o:spid="_x0000_s1026" o:spt="202" type="#_x0000_t202" style="position:absolute;left:0pt;margin-left:88.7pt;margin-top:37.3pt;height:130.2pt;width:315.25pt;mso-wrap-distance-bottom:0pt;mso-wrap-distance-left:9pt;mso-wrap-distance-right:9pt;mso-wrap-distance-top:0pt;z-index:251659264;mso-width-relative:page;mso-height-relative:page;" filled="f" stroked="f" coordsize="21600,21600" o:gfxdata="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WzW8TX&#10;AAAACgEAAA8AAAAAAAAAAQAgAAAAIgAAAGRycy9kb3ducmV2LnhtbFBLAQIUABQAAAAIAIdO4kCn&#10;siptrwEAAE8DAAAOAAAAAAAAAAEAIAAAACYBAABkcnMvZTJvRG9jLnhtbFBLBQYAAAAABgAGAFkB&#10;AABHBQAAAAA=&#10;">
                <v:fill on="f" focussize="0,0"/>
                <v:stroke on="f"/>
                <v:imagedata o:title=""/>
                <o:lock v:ext="edit" aspectratio="f"/>
                <v:textbox>
                  <w:txbxContent>
                    <w:p w14:paraId="1EE8AEB5">
                      <w:pPr>
                        <w:pStyle w:val="6"/>
                        <w:spacing w:after="0" w:line="360" w:lineRule="auto"/>
                        <w:rPr>
                          <w:rFonts w:ascii="黑体" w:hAnsi="黑体" w:eastAsia="黑体" w:cs="黑体"/>
                          <w:color w:val="auto"/>
                          <w:szCs w:val="24"/>
                        </w:rPr>
                      </w:pPr>
                    </w:p>
                    <w:p w14:paraId="5F8312F8">
                      <w:pPr>
                        <w:pStyle w:val="6"/>
                        <w:spacing w:after="0" w:line="360" w:lineRule="auto"/>
                        <w:rPr>
                          <w:rFonts w:ascii="黑体" w:hAnsi="黑体" w:eastAsia="黑体" w:cs="黑体"/>
                          <w:color w:val="auto"/>
                          <w:szCs w:val="24"/>
                        </w:rPr>
                      </w:pPr>
                      <w:r>
                        <w:rPr>
                          <w:rFonts w:hint="eastAsia" w:ascii="黑体" w:hAnsi="黑体" w:eastAsia="黑体" w:cs="黑体"/>
                          <w:color w:val="auto"/>
                          <w:szCs w:val="24"/>
                        </w:rPr>
                        <w:t>本期编辑：郭政轩 北京大成（大连）律师事务所</w:t>
                      </w:r>
                    </w:p>
                    <w:p w14:paraId="427B9D4B">
                      <w:pPr>
                        <w:pStyle w:val="6"/>
                        <w:spacing w:after="0" w:line="360" w:lineRule="auto"/>
                        <w:ind w:left="1200"/>
                        <w:rPr>
                          <w:rFonts w:ascii="黑体" w:hAnsi="黑体" w:eastAsia="黑体" w:cs="黑体"/>
                          <w:color w:val="auto"/>
                          <w:szCs w:val="24"/>
                        </w:rPr>
                      </w:pPr>
                      <w:r>
                        <w:rPr>
                          <w:rFonts w:hint="eastAsia" w:ascii="黑体" w:hAnsi="黑体" w:eastAsia="黑体" w:cs="黑体"/>
                          <w:color w:val="auto"/>
                          <w:szCs w:val="24"/>
                        </w:rPr>
                        <w:t>邵筱童 北京大成（大连）律师事务所</w:t>
                      </w:r>
                    </w:p>
                    <w:p w14:paraId="1B4E20FD">
                      <w:pPr>
                        <w:pStyle w:val="6"/>
                        <w:spacing w:after="0" w:line="360" w:lineRule="auto"/>
                        <w:rPr>
                          <w:rFonts w:ascii="Arial Black" w:hAnsi="Arial Black"/>
                          <w:b/>
                          <w:bCs/>
                          <w:color w:val="333399"/>
                          <w:sz w:val="21"/>
                          <w:szCs w:val="21"/>
                        </w:rPr>
                      </w:pPr>
                      <w:r>
                        <w:rPr>
                          <w:rFonts w:hint="eastAsia" w:ascii="黑体" w:hAnsi="黑体" w:eastAsia="黑体" w:cs="黑体"/>
                          <w:color w:val="auto"/>
                          <w:szCs w:val="24"/>
                        </w:rPr>
                        <w:t>责任编辑：</w:t>
                      </w:r>
                      <w:r>
                        <w:rPr>
                          <w:rFonts w:hint="eastAsia" w:ascii="黑体" w:hAnsi="黑体" w:eastAsia="黑体" w:cs="黑体"/>
                          <w:color w:val="auto"/>
                          <w:szCs w:val="24"/>
                          <w:lang w:val="en-US" w:eastAsia="zh-CN"/>
                        </w:rPr>
                        <w:t>潘晓黎 北京观韬（大连）律师事务所</w:t>
                      </w:r>
                    </w:p>
                  </w:txbxContent>
                </v:textbox>
                <w10:wrap type="square"/>
              </v:shape>
            </w:pict>
          </mc:Fallback>
        </mc:AlternateContent>
      </w:r>
      <w:r>
        <w:rPr>
          <w:rFonts w:ascii="Times New Roman" w:hAnsi="Times New Roman" w:eastAsia="黑体"/>
          <w:b/>
          <w:bCs/>
        </w:rPr>
        <w:t>总第</w:t>
      </w:r>
      <w:r>
        <w:rPr>
          <w:rFonts w:hint="eastAsia" w:ascii="Times New Roman" w:hAnsi="Times New Roman" w:eastAsia="黑体"/>
          <w:b/>
          <w:bCs/>
        </w:rPr>
        <w:t>一百八十五</w:t>
      </w:r>
      <w:r>
        <w:rPr>
          <w:rFonts w:ascii="Times New Roman" w:hAnsi="Times New Roman" w:eastAsia="黑体"/>
          <w:b/>
          <w:bCs/>
        </w:rPr>
        <w:t>期</w:t>
      </w:r>
    </w:p>
    <w:p w14:paraId="08034ABA">
      <w:pPr>
        <w:rPr>
          <w:rFonts w:ascii="Times New Roman" w:hAnsi="Times New Roman" w:eastAsia="黑体"/>
          <w:b/>
        </w:rPr>
        <w:sectPr>
          <w:footerReference r:id="rId3" w:type="default"/>
          <w:pgSz w:w="11906" w:h="16838"/>
          <w:pgMar w:top="1440" w:right="1417" w:bottom="1440" w:left="1417" w:header="851" w:footer="992" w:gutter="0"/>
          <w:cols w:space="720" w:num="1"/>
          <w:titlePg/>
          <w:docGrid w:type="lines" w:linePitch="312" w:charSpace="0"/>
        </w:sectPr>
      </w:pPr>
    </w:p>
    <w:p w14:paraId="0156798C">
      <w:pPr>
        <w:keepNext w:val="0"/>
        <w:keepLines w:val="0"/>
        <w:pageBreakBefore w:val="0"/>
        <w:widowControl/>
        <w:tabs>
          <w:tab w:val="left" w:pos="0"/>
          <w:tab w:val="left" w:pos="840"/>
        </w:tabs>
        <w:kinsoku/>
        <w:wordWrap/>
        <w:overflowPunct/>
        <w:topLinePunct w:val="0"/>
        <w:autoSpaceDE/>
        <w:autoSpaceDN/>
        <w:bidi w:val="0"/>
        <w:adjustRightInd/>
        <w:snapToGrid/>
        <w:spacing w:before="156" w:beforeLines="50" w:after="156" w:afterLines="50"/>
        <w:textAlignment w:val="auto"/>
        <w:rPr>
          <w:rFonts w:ascii="Times New Roman" w:hAnsi="Times New Roman"/>
        </w:rPr>
      </w:pPr>
      <w:r>
        <w:rPr>
          <w:rFonts w:ascii="Times New Roman" w:hAnsi="Times New Roman" w:eastAsia="黑体"/>
          <w:b/>
          <w:color w:val="FFFFFF"/>
          <w:sz w:val="32"/>
          <w:szCs w:val="32"/>
          <w:highlight w:val="blue"/>
          <w:shd w:val="clear" w:color="FFFFFF" w:fill="D9D9D9"/>
        </w:rPr>
        <w:t>资本市场最新动态</w:t>
      </w:r>
    </w:p>
    <w:p w14:paraId="6D819745">
      <w:pPr>
        <w:numPr>
          <w:ilvl w:val="0"/>
          <w:numId w:val="1"/>
        </w:numPr>
        <w:tabs>
          <w:tab w:val="left" w:pos="0"/>
          <w:tab w:val="left" w:pos="840"/>
        </w:tabs>
        <w:spacing w:after="156" w:afterLines="50" w:line="360" w:lineRule="auto"/>
        <w:rPr>
          <w:rFonts w:ascii="Times New Roman" w:hAnsi="Times New Roman"/>
        </w:rPr>
      </w:pPr>
      <w:r>
        <w:rPr>
          <w:rFonts w:ascii="Times New Roman" w:hAnsi="Times New Roman" w:cs="Times New Roman"/>
        </w:rPr>
        <w:t>沪深两市</w:t>
      </w:r>
      <w:r>
        <w:rPr>
          <w:rFonts w:hint="eastAsia" w:ascii="Times New Roman" w:hAnsi="Times New Roman" w:cs="Times New Roman"/>
          <w:lang w:eastAsia="zh-Hans"/>
        </w:rPr>
        <w:t>和北交所</w:t>
      </w:r>
      <w:r>
        <w:rPr>
          <w:rFonts w:ascii="Times New Roman" w:hAnsi="Times New Roman" w:cs="Times New Roman"/>
        </w:rPr>
        <w:t xml:space="preserve">上市公司数据信息统计         </w:t>
      </w:r>
      <w:r>
        <w:rPr>
          <w:rFonts w:hint="eastAsia" w:ascii="Times New Roman" w:hAnsi="Times New Roman" w:cs="Times New Roman"/>
        </w:rPr>
        <w:t xml:space="preserve">      </w:t>
      </w:r>
      <w:r>
        <w:rPr>
          <w:rFonts w:ascii="Times New Roman" w:hAnsi="Times New Roman" w:cs="Times New Roman"/>
        </w:rPr>
        <w:t xml:space="preserve"> </w:t>
      </w:r>
      <w:r>
        <w:rPr>
          <w:rFonts w:hint="eastAsia" w:ascii="Times New Roman" w:hAnsi="Times New Roman" w:cs="Times New Roman"/>
        </w:rPr>
        <w:t>截至</w:t>
      </w:r>
      <w:bookmarkStart w:id="0" w:name="OLE_LINK1"/>
      <w:r>
        <w:rPr>
          <w:rFonts w:hint="eastAsia" w:ascii="Times New Roman" w:hAnsi="Times New Roman" w:cs="Times New Roman"/>
        </w:rPr>
        <w:t>20</w:t>
      </w:r>
      <w:r>
        <w:rPr>
          <w:rFonts w:ascii="Times New Roman" w:hAnsi="Times New Roman" w:cs="Times New Roman"/>
        </w:rPr>
        <w:t>2</w:t>
      </w:r>
      <w:r>
        <w:rPr>
          <w:rFonts w:hint="eastAsia" w:ascii="Times New Roman" w:hAnsi="Times New Roman" w:cs="Times New Roman"/>
        </w:rPr>
        <w:t>6年8</w:t>
      </w:r>
      <w:r>
        <w:rPr>
          <w:rFonts w:ascii="Times New Roman" w:hAnsi="Times New Roman" w:cs="Times New Roman"/>
        </w:rPr>
        <w:t>月</w:t>
      </w:r>
      <w:r>
        <w:rPr>
          <w:rFonts w:hint="eastAsia" w:ascii="Times New Roman" w:hAnsi="Times New Roman" w:cs="Times New Roman"/>
        </w:rPr>
        <w:t>31</w:t>
      </w:r>
      <w:r>
        <w:rPr>
          <w:rFonts w:ascii="Times New Roman" w:hAnsi="Times New Roman" w:cs="Times New Roman"/>
        </w:rPr>
        <w:t>日</w:t>
      </w:r>
      <w:bookmarkEnd w:id="0"/>
    </w:p>
    <w:tbl>
      <w:tblPr>
        <w:tblStyle w:val="10"/>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488"/>
        <w:gridCol w:w="1374"/>
        <w:gridCol w:w="1324"/>
        <w:gridCol w:w="1380"/>
        <w:gridCol w:w="1380"/>
      </w:tblGrid>
      <w:tr w14:paraId="583C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2263" w:type="dxa"/>
            <w:shd w:val="clear" w:color="auto" w:fill="BEBEBE"/>
          </w:tcPr>
          <w:p w14:paraId="1F9520BD">
            <w:pPr>
              <w:rPr>
                <w:rFonts w:ascii="Times New Roman" w:hAnsi="Times New Roman"/>
                <w:b/>
                <w:bCs/>
              </w:rPr>
            </w:pPr>
          </w:p>
        </w:tc>
        <w:tc>
          <w:tcPr>
            <w:tcW w:w="1488" w:type="dxa"/>
            <w:shd w:val="clear" w:color="auto" w:fill="BEBEBE"/>
            <w:vAlign w:val="center"/>
          </w:tcPr>
          <w:p w14:paraId="3715BC77">
            <w:pPr>
              <w:jc w:val="center"/>
              <w:rPr>
                <w:rFonts w:ascii="Times New Roman" w:hAnsi="Times New Roman"/>
                <w:b/>
                <w:bCs/>
              </w:rPr>
            </w:pPr>
            <w:r>
              <w:rPr>
                <w:rFonts w:ascii="Times New Roman" w:hAnsi="Times New Roman" w:cs="Times New Roman"/>
                <w:b/>
                <w:bCs/>
              </w:rPr>
              <w:t>沪市主板</w:t>
            </w:r>
          </w:p>
        </w:tc>
        <w:tc>
          <w:tcPr>
            <w:tcW w:w="1374" w:type="dxa"/>
            <w:shd w:val="clear" w:color="auto" w:fill="C0C0C0"/>
            <w:vAlign w:val="center"/>
          </w:tcPr>
          <w:p w14:paraId="57EBF7D9">
            <w:pPr>
              <w:jc w:val="center"/>
              <w:rPr>
                <w:rFonts w:ascii="Times New Roman" w:hAnsi="Times New Roman"/>
                <w:b/>
                <w:bCs/>
              </w:rPr>
            </w:pPr>
            <w:r>
              <w:rPr>
                <w:rFonts w:ascii="Times New Roman" w:hAnsi="Times New Roman" w:cs="Times New Roman"/>
                <w:b/>
                <w:bCs/>
              </w:rPr>
              <w:t>深市主板</w:t>
            </w:r>
          </w:p>
        </w:tc>
        <w:tc>
          <w:tcPr>
            <w:tcW w:w="1324" w:type="dxa"/>
            <w:shd w:val="clear" w:color="auto" w:fill="C0C0C0"/>
            <w:vAlign w:val="center"/>
          </w:tcPr>
          <w:p w14:paraId="129018C6">
            <w:pPr>
              <w:jc w:val="center"/>
              <w:rPr>
                <w:rFonts w:ascii="Times New Roman" w:hAnsi="Times New Roman"/>
                <w:b/>
                <w:bCs/>
              </w:rPr>
            </w:pPr>
            <w:r>
              <w:rPr>
                <w:rFonts w:ascii="Times New Roman" w:hAnsi="Times New Roman" w:cs="Times New Roman"/>
                <w:b/>
                <w:bCs/>
              </w:rPr>
              <w:t>创业板</w:t>
            </w:r>
          </w:p>
        </w:tc>
        <w:tc>
          <w:tcPr>
            <w:tcW w:w="1380" w:type="dxa"/>
            <w:shd w:val="clear" w:color="auto" w:fill="C0C0C0"/>
            <w:vAlign w:val="center"/>
          </w:tcPr>
          <w:p w14:paraId="3D132EB5">
            <w:pPr>
              <w:jc w:val="center"/>
              <w:rPr>
                <w:rFonts w:ascii="Times New Roman" w:hAnsi="Times New Roman"/>
                <w:b/>
                <w:bCs/>
              </w:rPr>
            </w:pPr>
            <w:r>
              <w:rPr>
                <w:rFonts w:hint="eastAsia" w:ascii="Times New Roman" w:hAnsi="Times New Roman" w:cs="Times New Roman"/>
                <w:b/>
                <w:bCs/>
              </w:rPr>
              <w:t>科创板</w:t>
            </w:r>
          </w:p>
        </w:tc>
        <w:tc>
          <w:tcPr>
            <w:tcW w:w="1380" w:type="dxa"/>
            <w:shd w:val="clear" w:color="auto" w:fill="C0C0C0"/>
            <w:vAlign w:val="center"/>
          </w:tcPr>
          <w:p w14:paraId="23F3BA3C">
            <w:pPr>
              <w:jc w:val="center"/>
              <w:rPr>
                <w:rFonts w:ascii="Times New Roman" w:hAnsi="Times New Roman"/>
                <w:b/>
                <w:bCs/>
                <w:lang w:eastAsia="zh-Hans"/>
              </w:rPr>
            </w:pPr>
            <w:r>
              <w:rPr>
                <w:rFonts w:hint="eastAsia" w:ascii="Times New Roman" w:hAnsi="Times New Roman" w:cs="Times New Roman"/>
                <w:b/>
                <w:bCs/>
                <w:lang w:eastAsia="zh-Hans"/>
              </w:rPr>
              <w:t>北交所</w:t>
            </w:r>
          </w:p>
        </w:tc>
      </w:tr>
      <w:tr w14:paraId="1DD3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263" w:type="dxa"/>
            <w:vAlign w:val="center"/>
          </w:tcPr>
          <w:p w14:paraId="1E435FB2">
            <w:pPr>
              <w:jc w:val="center"/>
              <w:rPr>
                <w:rFonts w:ascii="Times New Roman" w:hAnsi="Times New Roman"/>
              </w:rPr>
            </w:pPr>
            <w:r>
              <w:rPr>
                <w:rFonts w:ascii="Times New Roman" w:hAnsi="Times New Roman" w:cs="Times New Roman"/>
              </w:rPr>
              <w:t>上市公司（家数）</w:t>
            </w:r>
          </w:p>
        </w:tc>
        <w:tc>
          <w:tcPr>
            <w:tcW w:w="1488" w:type="dxa"/>
            <w:vAlign w:val="center"/>
          </w:tcPr>
          <w:p w14:paraId="19BAE65D">
            <w:pPr>
              <w:jc w:val="right"/>
              <w:rPr>
                <w:rFonts w:hint="eastAsia" w:ascii="Times New Roman" w:hAnsi="Times New Roman"/>
              </w:rPr>
            </w:pPr>
            <w:r>
              <w:rPr>
                <w:rFonts w:hint="eastAsia" w:ascii="Times New Roman" w:hAnsi="Times New Roman"/>
              </w:rPr>
              <w:t>1</w:t>
            </w:r>
            <w:r>
              <w:rPr>
                <w:rFonts w:ascii="Times New Roman" w:hAnsi="Times New Roman"/>
              </w:rPr>
              <w:t>,</w:t>
            </w:r>
            <w:r>
              <w:rPr>
                <w:rFonts w:hint="eastAsia" w:ascii="Times New Roman" w:hAnsi="Times New Roman"/>
              </w:rPr>
              <w:t>702</w:t>
            </w:r>
          </w:p>
        </w:tc>
        <w:tc>
          <w:tcPr>
            <w:tcW w:w="1374" w:type="dxa"/>
            <w:vAlign w:val="center"/>
          </w:tcPr>
          <w:p w14:paraId="32244831">
            <w:pPr>
              <w:jc w:val="right"/>
              <w:rPr>
                <w:rFonts w:ascii="Times New Roman" w:hAnsi="Times New Roman"/>
              </w:rPr>
            </w:pPr>
            <w:r>
              <w:rPr>
                <w:rFonts w:hint="eastAsia" w:ascii="Times New Roman" w:hAnsi="Times New Roman"/>
              </w:rPr>
              <w:t>1,498</w:t>
            </w:r>
          </w:p>
        </w:tc>
        <w:tc>
          <w:tcPr>
            <w:tcW w:w="1324" w:type="dxa"/>
            <w:vAlign w:val="center"/>
          </w:tcPr>
          <w:p w14:paraId="34F24170">
            <w:pPr>
              <w:jc w:val="right"/>
              <w:rPr>
                <w:rFonts w:ascii="Times New Roman" w:hAnsi="Times New Roman"/>
              </w:rPr>
            </w:pPr>
            <w:r>
              <w:rPr>
                <w:rFonts w:ascii="Times New Roman" w:hAnsi="Times New Roman"/>
              </w:rPr>
              <w:t>1,403</w:t>
            </w:r>
          </w:p>
        </w:tc>
        <w:tc>
          <w:tcPr>
            <w:tcW w:w="1380" w:type="dxa"/>
            <w:vAlign w:val="center"/>
          </w:tcPr>
          <w:p w14:paraId="4CC54406">
            <w:pPr>
              <w:jc w:val="right"/>
              <w:rPr>
                <w:rFonts w:ascii="Times New Roman" w:hAnsi="Times New Roman"/>
              </w:rPr>
            </w:pPr>
            <w:r>
              <w:rPr>
                <w:rFonts w:ascii="Times New Roman" w:hAnsi="Times New Roman"/>
              </w:rPr>
              <w:t>61</w:t>
            </w:r>
            <w:r>
              <w:rPr>
                <w:rFonts w:hint="eastAsia" w:ascii="Times New Roman" w:hAnsi="Times New Roman"/>
              </w:rPr>
              <w:t>6</w:t>
            </w:r>
          </w:p>
        </w:tc>
        <w:tc>
          <w:tcPr>
            <w:tcW w:w="1380" w:type="dxa"/>
            <w:vAlign w:val="center"/>
          </w:tcPr>
          <w:p w14:paraId="46CF67F5">
            <w:pPr>
              <w:jc w:val="right"/>
              <w:rPr>
                <w:rFonts w:ascii="Times New Roman" w:hAnsi="Times New Roman"/>
              </w:rPr>
            </w:pPr>
            <w:r>
              <w:rPr>
                <w:rFonts w:ascii="Times New Roman" w:hAnsi="Times New Roman"/>
              </w:rPr>
              <w:t>339</w:t>
            </w:r>
          </w:p>
        </w:tc>
      </w:tr>
      <w:tr w14:paraId="1EB7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263" w:type="dxa"/>
            <w:vAlign w:val="center"/>
          </w:tcPr>
          <w:p w14:paraId="65D0BD67">
            <w:pPr>
              <w:ind w:right="-355" w:rightChars="-148"/>
              <w:rPr>
                <w:rFonts w:ascii="Times New Roman" w:hAnsi="Times New Roman"/>
              </w:rPr>
            </w:pPr>
            <w:r>
              <w:rPr>
                <w:rFonts w:ascii="Times New Roman" w:hAnsi="Times New Roman" w:cs="Times New Roman"/>
              </w:rPr>
              <w:t>总发行股本（亿股）</w:t>
            </w:r>
          </w:p>
        </w:tc>
        <w:tc>
          <w:tcPr>
            <w:tcW w:w="1488" w:type="dxa"/>
            <w:vAlign w:val="center"/>
          </w:tcPr>
          <w:p w14:paraId="13FEF70E">
            <w:pPr>
              <w:jc w:val="right"/>
              <w:rPr>
                <w:rFonts w:ascii="Times New Roman" w:hAnsi="Times New Roman"/>
              </w:rPr>
            </w:pPr>
            <w:r>
              <w:rPr>
                <w:rFonts w:ascii="Times New Roman" w:hAnsi="Times New Roman"/>
              </w:rPr>
              <w:t>48,563.29</w:t>
            </w:r>
          </w:p>
        </w:tc>
        <w:tc>
          <w:tcPr>
            <w:tcW w:w="1374" w:type="dxa"/>
            <w:vAlign w:val="center"/>
          </w:tcPr>
          <w:p w14:paraId="3758975F">
            <w:pPr>
              <w:jc w:val="right"/>
              <w:rPr>
                <w:rFonts w:ascii="Times New Roman" w:hAnsi="Times New Roman"/>
              </w:rPr>
            </w:pPr>
            <w:r>
              <w:rPr>
                <w:rFonts w:ascii="Times New Roman" w:hAnsi="Times New Roman"/>
              </w:rPr>
              <w:t>20,965.74</w:t>
            </w:r>
          </w:p>
        </w:tc>
        <w:tc>
          <w:tcPr>
            <w:tcW w:w="1324" w:type="dxa"/>
            <w:vAlign w:val="center"/>
          </w:tcPr>
          <w:p w14:paraId="5CB3F5B2">
            <w:pPr>
              <w:jc w:val="right"/>
              <w:rPr>
                <w:rFonts w:ascii="Times New Roman" w:hAnsi="Times New Roman"/>
              </w:rPr>
            </w:pPr>
            <w:r>
              <w:rPr>
                <w:rFonts w:ascii="Times New Roman" w:hAnsi="Times New Roman"/>
              </w:rPr>
              <w:t>6,776.97</w:t>
            </w:r>
          </w:p>
        </w:tc>
        <w:tc>
          <w:tcPr>
            <w:tcW w:w="1380" w:type="dxa"/>
            <w:vAlign w:val="center"/>
          </w:tcPr>
          <w:p w14:paraId="7EE593DD">
            <w:pPr>
              <w:jc w:val="right"/>
              <w:rPr>
                <w:rFonts w:ascii="Times New Roman" w:hAnsi="Times New Roman"/>
              </w:rPr>
            </w:pPr>
            <w:r>
              <w:rPr>
                <w:rFonts w:hint="eastAsia" w:ascii="Times New Roman" w:hAnsi="Times New Roman"/>
              </w:rPr>
              <w:t>3,234.</w:t>
            </w:r>
            <w:r>
              <w:rPr>
                <w:rFonts w:ascii="Times New Roman" w:hAnsi="Times New Roman"/>
              </w:rPr>
              <w:t>06</w:t>
            </w:r>
          </w:p>
        </w:tc>
        <w:tc>
          <w:tcPr>
            <w:tcW w:w="1380" w:type="dxa"/>
            <w:vAlign w:val="center"/>
          </w:tcPr>
          <w:p w14:paraId="48667C32">
            <w:pPr>
              <w:jc w:val="right"/>
              <w:rPr>
                <w:rFonts w:ascii="Times New Roman" w:hAnsi="Times New Roman"/>
              </w:rPr>
            </w:pPr>
            <w:r>
              <w:rPr>
                <w:rFonts w:ascii="Times New Roman" w:hAnsi="Times New Roman"/>
              </w:rPr>
              <w:t>468.66</w:t>
            </w:r>
          </w:p>
        </w:tc>
      </w:tr>
      <w:tr w14:paraId="074C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263" w:type="dxa"/>
            <w:vAlign w:val="center"/>
          </w:tcPr>
          <w:p w14:paraId="7E0B3A71">
            <w:pPr>
              <w:ind w:right="-355" w:rightChars="-148"/>
              <w:rPr>
                <w:rFonts w:ascii="Times New Roman" w:hAnsi="Times New Roman"/>
              </w:rPr>
            </w:pPr>
            <w:r>
              <w:rPr>
                <w:rFonts w:ascii="Times New Roman" w:hAnsi="Times New Roman" w:cs="Times New Roman"/>
              </w:rPr>
              <w:t>总流通股本（亿股）</w:t>
            </w:r>
          </w:p>
        </w:tc>
        <w:tc>
          <w:tcPr>
            <w:tcW w:w="1488" w:type="dxa"/>
            <w:vAlign w:val="center"/>
          </w:tcPr>
          <w:p w14:paraId="0FCE0FCB">
            <w:pPr>
              <w:jc w:val="right"/>
              <w:rPr>
                <w:rFonts w:ascii="Times New Roman" w:hAnsi="Times New Roman"/>
              </w:rPr>
            </w:pPr>
            <w:r>
              <w:rPr>
                <w:rFonts w:ascii="Times New Roman" w:hAnsi="Times New Roman"/>
              </w:rPr>
              <w:t>46,397.31</w:t>
            </w:r>
          </w:p>
        </w:tc>
        <w:tc>
          <w:tcPr>
            <w:tcW w:w="1374" w:type="dxa"/>
            <w:vAlign w:val="center"/>
          </w:tcPr>
          <w:p w14:paraId="6F409345">
            <w:pPr>
              <w:jc w:val="right"/>
              <w:rPr>
                <w:rFonts w:ascii="Times New Roman" w:hAnsi="Times New Roman"/>
              </w:rPr>
            </w:pPr>
            <w:r>
              <w:rPr>
                <w:rFonts w:ascii="Times New Roman" w:hAnsi="Times New Roman"/>
              </w:rPr>
              <w:t>18,899.48</w:t>
            </w:r>
          </w:p>
        </w:tc>
        <w:tc>
          <w:tcPr>
            <w:tcW w:w="1324" w:type="dxa"/>
            <w:vAlign w:val="center"/>
          </w:tcPr>
          <w:p w14:paraId="1B5EA492">
            <w:pPr>
              <w:jc w:val="right"/>
              <w:rPr>
                <w:rFonts w:ascii="Times New Roman" w:hAnsi="Times New Roman"/>
              </w:rPr>
            </w:pPr>
            <w:r>
              <w:rPr>
                <w:rFonts w:ascii="Times New Roman" w:hAnsi="Times New Roman"/>
              </w:rPr>
              <w:t>5,663.84</w:t>
            </w:r>
          </w:p>
        </w:tc>
        <w:tc>
          <w:tcPr>
            <w:tcW w:w="1380" w:type="dxa"/>
            <w:vAlign w:val="center"/>
          </w:tcPr>
          <w:p w14:paraId="18DC3B1A">
            <w:pPr>
              <w:jc w:val="right"/>
              <w:rPr>
                <w:rFonts w:ascii="Times New Roman" w:hAnsi="Times New Roman"/>
              </w:rPr>
            </w:pPr>
            <w:r>
              <w:rPr>
                <w:rFonts w:ascii="Times New Roman" w:hAnsi="Times New Roman"/>
              </w:rPr>
              <w:t>2,220.86</w:t>
            </w:r>
          </w:p>
        </w:tc>
        <w:tc>
          <w:tcPr>
            <w:tcW w:w="1380" w:type="dxa"/>
            <w:vAlign w:val="center"/>
          </w:tcPr>
          <w:p w14:paraId="53D4018D">
            <w:pPr>
              <w:jc w:val="right"/>
              <w:rPr>
                <w:rFonts w:ascii="Times New Roman" w:hAnsi="Times New Roman"/>
              </w:rPr>
            </w:pPr>
            <w:r>
              <w:rPr>
                <w:rFonts w:ascii="Times New Roman" w:hAnsi="Times New Roman"/>
              </w:rPr>
              <w:t>284.78</w:t>
            </w:r>
          </w:p>
        </w:tc>
      </w:tr>
      <w:tr w14:paraId="4B46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263" w:type="dxa"/>
            <w:vAlign w:val="center"/>
          </w:tcPr>
          <w:p w14:paraId="18DAD878">
            <w:pPr>
              <w:rPr>
                <w:rFonts w:ascii="Times New Roman" w:hAnsi="Times New Roman"/>
              </w:rPr>
            </w:pPr>
            <w:r>
              <w:rPr>
                <w:rFonts w:ascii="Times New Roman" w:hAnsi="Times New Roman" w:cs="Times New Roman"/>
              </w:rPr>
              <w:t>总市值（亿元）</w:t>
            </w:r>
          </w:p>
        </w:tc>
        <w:tc>
          <w:tcPr>
            <w:tcW w:w="1488" w:type="dxa"/>
            <w:vAlign w:val="center"/>
          </w:tcPr>
          <w:p w14:paraId="1EAF21FA">
            <w:pPr>
              <w:jc w:val="right"/>
              <w:rPr>
                <w:rFonts w:ascii="Times New Roman" w:hAnsi="Times New Roman"/>
              </w:rPr>
            </w:pPr>
            <w:r>
              <w:rPr>
                <w:rFonts w:ascii="Times New Roman" w:hAnsi="Times New Roman"/>
              </w:rPr>
              <w:t>531,704.94</w:t>
            </w:r>
          </w:p>
        </w:tc>
        <w:tc>
          <w:tcPr>
            <w:tcW w:w="1374" w:type="dxa"/>
            <w:vAlign w:val="center"/>
          </w:tcPr>
          <w:p w14:paraId="3FB73801">
            <w:pPr>
              <w:jc w:val="right"/>
              <w:rPr>
                <w:rFonts w:hint="eastAsia" w:ascii="Times New Roman" w:hAnsi="Times New Roman"/>
              </w:rPr>
            </w:pPr>
            <w:r>
              <w:rPr>
                <w:rFonts w:hint="eastAsia" w:ascii="Times New Roman" w:hAnsi="Times New Roman"/>
              </w:rPr>
              <w:t>261,058.04</w:t>
            </w:r>
          </w:p>
        </w:tc>
        <w:tc>
          <w:tcPr>
            <w:tcW w:w="1324" w:type="dxa"/>
            <w:vAlign w:val="center"/>
          </w:tcPr>
          <w:p w14:paraId="72EC6370">
            <w:pPr>
              <w:jc w:val="right"/>
              <w:rPr>
                <w:rFonts w:ascii="Times New Roman" w:hAnsi="Times New Roman"/>
              </w:rPr>
            </w:pPr>
            <w:r>
              <w:rPr>
                <w:rFonts w:ascii="Times New Roman" w:hAnsi="Times New Roman"/>
              </w:rPr>
              <w:t>189,544.14</w:t>
            </w:r>
          </w:p>
        </w:tc>
        <w:tc>
          <w:tcPr>
            <w:tcW w:w="1380" w:type="dxa"/>
            <w:vAlign w:val="center"/>
          </w:tcPr>
          <w:p w14:paraId="71AFC129">
            <w:pPr>
              <w:jc w:val="right"/>
              <w:rPr>
                <w:rFonts w:ascii="Times New Roman" w:hAnsi="Times New Roman"/>
              </w:rPr>
            </w:pPr>
            <w:r>
              <w:rPr>
                <w:rFonts w:ascii="Times New Roman" w:hAnsi="Times New Roman"/>
              </w:rPr>
              <w:t>175,261.54</w:t>
            </w:r>
          </w:p>
        </w:tc>
        <w:tc>
          <w:tcPr>
            <w:tcW w:w="1380" w:type="dxa"/>
            <w:vAlign w:val="center"/>
          </w:tcPr>
          <w:p w14:paraId="7E923D4C">
            <w:pPr>
              <w:jc w:val="right"/>
              <w:rPr>
                <w:rFonts w:ascii="Times New Roman" w:hAnsi="Times New Roman"/>
              </w:rPr>
            </w:pPr>
            <w:r>
              <w:rPr>
                <w:rFonts w:ascii="Times New Roman" w:hAnsi="Times New Roman"/>
              </w:rPr>
              <w:t>8,414.86</w:t>
            </w:r>
          </w:p>
        </w:tc>
      </w:tr>
      <w:tr w14:paraId="2067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263" w:type="dxa"/>
            <w:vAlign w:val="center"/>
          </w:tcPr>
          <w:p w14:paraId="6D864E72">
            <w:pPr>
              <w:rPr>
                <w:rFonts w:ascii="Times New Roman" w:hAnsi="Times New Roman"/>
              </w:rPr>
            </w:pPr>
            <w:r>
              <w:rPr>
                <w:rFonts w:hint="eastAsia" w:ascii="Times New Roman" w:hAnsi="Times New Roman"/>
              </w:rPr>
              <w:t>平均市盈率</w:t>
            </w:r>
          </w:p>
        </w:tc>
        <w:tc>
          <w:tcPr>
            <w:tcW w:w="1488" w:type="dxa"/>
            <w:vAlign w:val="center"/>
          </w:tcPr>
          <w:p w14:paraId="547C4ADF">
            <w:pPr>
              <w:jc w:val="right"/>
              <w:rPr>
                <w:rFonts w:ascii="Times New Roman" w:hAnsi="Times New Roman"/>
              </w:rPr>
            </w:pPr>
            <w:r>
              <w:rPr>
                <w:rFonts w:hint="eastAsia" w:ascii="Times New Roman" w:hAnsi="Times New Roman"/>
              </w:rPr>
              <w:t>14.0</w:t>
            </w:r>
            <w:r>
              <w:rPr>
                <w:rFonts w:ascii="Times New Roman" w:hAnsi="Times New Roman"/>
              </w:rPr>
              <w:t>8</w:t>
            </w:r>
          </w:p>
        </w:tc>
        <w:tc>
          <w:tcPr>
            <w:tcW w:w="1374" w:type="dxa"/>
            <w:vAlign w:val="center"/>
          </w:tcPr>
          <w:p w14:paraId="3F513696">
            <w:pPr>
              <w:jc w:val="right"/>
              <w:rPr>
                <w:rFonts w:hint="eastAsia" w:ascii="Times New Roman" w:hAnsi="Times New Roman"/>
              </w:rPr>
            </w:pPr>
            <w:r>
              <w:rPr>
                <w:rFonts w:hint="eastAsia" w:ascii="Times New Roman" w:hAnsi="Times New Roman"/>
              </w:rPr>
              <w:t>25.21</w:t>
            </w:r>
          </w:p>
        </w:tc>
        <w:tc>
          <w:tcPr>
            <w:tcW w:w="1324" w:type="dxa"/>
            <w:vAlign w:val="center"/>
          </w:tcPr>
          <w:p w14:paraId="29A7EFB6">
            <w:pPr>
              <w:jc w:val="right"/>
              <w:rPr>
                <w:rFonts w:ascii="Times New Roman" w:hAnsi="Times New Roman"/>
              </w:rPr>
            </w:pPr>
            <w:r>
              <w:rPr>
                <w:rFonts w:ascii="Times New Roman" w:hAnsi="Times New Roman"/>
              </w:rPr>
              <w:t>45.75</w:t>
            </w:r>
          </w:p>
        </w:tc>
        <w:tc>
          <w:tcPr>
            <w:tcW w:w="1380" w:type="dxa"/>
            <w:vAlign w:val="center"/>
          </w:tcPr>
          <w:p w14:paraId="2AA3DD14">
            <w:pPr>
              <w:jc w:val="right"/>
              <w:rPr>
                <w:rFonts w:ascii="Times New Roman" w:hAnsi="Times New Roman"/>
              </w:rPr>
            </w:pPr>
            <w:r>
              <w:rPr>
                <w:rFonts w:ascii="Times New Roman" w:hAnsi="Times New Roman"/>
              </w:rPr>
              <w:t>126.02</w:t>
            </w:r>
          </w:p>
        </w:tc>
        <w:tc>
          <w:tcPr>
            <w:tcW w:w="1380" w:type="dxa"/>
            <w:vAlign w:val="center"/>
          </w:tcPr>
          <w:p w14:paraId="6B651870">
            <w:pPr>
              <w:jc w:val="right"/>
              <w:rPr>
                <w:rFonts w:ascii="Times New Roman" w:hAnsi="Times New Roman"/>
              </w:rPr>
            </w:pPr>
            <w:r>
              <w:rPr>
                <w:rFonts w:hint="eastAsia" w:ascii="Times New Roman" w:hAnsi="Times New Roman"/>
              </w:rPr>
              <w:t>33.16</w:t>
            </w:r>
          </w:p>
        </w:tc>
      </w:tr>
    </w:tbl>
    <w:p w14:paraId="3A13E741">
      <w:pPr>
        <w:jc w:val="right"/>
        <w:rPr>
          <w:rFonts w:ascii="Times New Roman" w:hAnsi="Times New Roman"/>
          <w:lang w:eastAsia="zh-Hans"/>
        </w:rPr>
      </w:pPr>
      <w:r>
        <w:rPr>
          <w:rFonts w:ascii="Times New Roman" w:hAnsi="Times New Roman" w:cs="Times New Roman"/>
        </w:rPr>
        <w:t xml:space="preserve">数据来源：上交所网站 深交所网站 </w:t>
      </w:r>
      <w:r>
        <w:rPr>
          <w:rFonts w:hint="eastAsia" w:ascii="Times New Roman" w:hAnsi="Times New Roman" w:cs="Times New Roman"/>
          <w:lang w:eastAsia="zh-Hans"/>
        </w:rPr>
        <w:t>北交所网站</w:t>
      </w:r>
    </w:p>
    <w:p w14:paraId="289B73D8">
      <w:pPr>
        <w:jc w:val="right"/>
        <w:rPr>
          <w:rFonts w:ascii="Times New Roman" w:hAnsi="Times New Roman"/>
          <w:lang w:eastAsia="zh-Hans"/>
        </w:rPr>
      </w:pPr>
    </w:p>
    <w:p w14:paraId="6EB7E707">
      <w:pPr>
        <w:jc w:val="right"/>
        <w:rPr>
          <w:rFonts w:ascii="Times New Roman" w:hAnsi="Times New Roman"/>
          <w:lang w:eastAsia="zh-Hans"/>
        </w:rPr>
      </w:pPr>
    </w:p>
    <w:p w14:paraId="2026F546">
      <w:pPr>
        <w:numPr>
          <w:ilvl w:val="0"/>
          <w:numId w:val="1"/>
        </w:numPr>
        <w:tabs>
          <w:tab w:val="left" w:pos="0"/>
          <w:tab w:val="left" w:pos="840"/>
        </w:tabs>
        <w:spacing w:after="156" w:afterLines="50" w:line="360" w:lineRule="auto"/>
        <w:rPr>
          <w:rFonts w:ascii="Times New Roman" w:hAnsi="Times New Roman"/>
        </w:rPr>
      </w:pPr>
      <w:r>
        <w:rPr>
          <w:rFonts w:ascii="Times New Roman" w:hAnsi="Times New Roman" w:cs="Times New Roman"/>
        </w:rPr>
        <w:t>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rPr>
        <w:t>8</w:t>
      </w:r>
      <w:r>
        <w:rPr>
          <w:rFonts w:ascii="Times New Roman" w:hAnsi="Times New Roman" w:cs="Times New Roman"/>
        </w:rPr>
        <w:t>月完成首次公开发行公司情况</w:t>
      </w:r>
    </w:p>
    <w:p w14:paraId="119C5054">
      <w:pPr>
        <w:tabs>
          <w:tab w:val="left" w:pos="0"/>
          <w:tab w:val="left" w:pos="840"/>
        </w:tabs>
        <w:spacing w:after="156" w:afterLines="50" w:line="360" w:lineRule="auto"/>
        <w:ind w:firstLine="480" w:firstLineChars="200"/>
        <w:jc w:val="both"/>
        <w:rPr>
          <w:rFonts w:ascii="Times New Roman" w:hAnsi="Times New Roman" w:cs="Times New Roman"/>
          <w:color w:val="000000"/>
          <w:szCs w:val="27"/>
          <w:highlight w:val="yellow"/>
          <w:lang w:eastAsia="zh-Hans"/>
        </w:rPr>
      </w:pPr>
      <w:r>
        <w:rPr>
          <w:rFonts w:hint="eastAsia" w:ascii="Times New Roman" w:hAnsi="Times New Roman" w:cs="Times New Roman"/>
          <w:color w:val="000000"/>
          <w:szCs w:val="27"/>
          <w:lang w:eastAsia="zh-Hans"/>
        </w:rPr>
        <w:t>自2026年</w:t>
      </w:r>
      <w:r>
        <w:rPr>
          <w:rFonts w:hint="eastAsia" w:ascii="Times New Roman" w:hAnsi="Times New Roman" w:cs="Times New Roman"/>
          <w:color w:val="000000"/>
          <w:szCs w:val="27"/>
        </w:rPr>
        <w:t>8</w:t>
      </w:r>
      <w:r>
        <w:rPr>
          <w:rFonts w:hint="eastAsia" w:ascii="Times New Roman" w:hAnsi="Times New Roman" w:cs="Times New Roman"/>
          <w:color w:val="000000"/>
          <w:szCs w:val="27"/>
          <w:lang w:eastAsia="zh-Hans"/>
        </w:rPr>
        <w:t>月1日至2026年</w:t>
      </w:r>
      <w:r>
        <w:rPr>
          <w:rFonts w:hint="eastAsia" w:ascii="Times New Roman" w:hAnsi="Times New Roman" w:cs="Times New Roman"/>
          <w:color w:val="000000"/>
          <w:szCs w:val="27"/>
        </w:rPr>
        <w:t>8</w:t>
      </w:r>
      <w:r>
        <w:rPr>
          <w:rFonts w:hint="eastAsia" w:ascii="Times New Roman" w:hAnsi="Times New Roman" w:cs="Times New Roman"/>
          <w:color w:val="000000"/>
          <w:szCs w:val="27"/>
          <w:lang w:eastAsia="zh-Hans"/>
        </w:rPr>
        <w:t>月3</w:t>
      </w:r>
      <w:r>
        <w:rPr>
          <w:rFonts w:hint="eastAsia" w:ascii="Times New Roman" w:hAnsi="Times New Roman" w:cs="Times New Roman"/>
          <w:color w:val="000000"/>
          <w:szCs w:val="27"/>
        </w:rPr>
        <w:t>1</w:t>
      </w:r>
      <w:r>
        <w:rPr>
          <w:rFonts w:hint="eastAsia" w:ascii="Times New Roman" w:hAnsi="Times New Roman" w:cs="Times New Roman"/>
          <w:color w:val="000000"/>
          <w:szCs w:val="27"/>
          <w:lang w:eastAsia="zh-Hans"/>
        </w:rPr>
        <w:t>日，共有</w:t>
      </w:r>
      <w:r>
        <w:rPr>
          <w:rFonts w:hint="eastAsia" w:ascii="Times New Roman" w:hAnsi="Times New Roman" w:cs="Times New Roman"/>
          <w:color w:val="000000"/>
          <w:szCs w:val="27"/>
        </w:rPr>
        <w:t>17</w:t>
      </w:r>
      <w:r>
        <w:rPr>
          <w:rFonts w:hint="eastAsia" w:ascii="Times New Roman" w:hAnsi="Times New Roman" w:cs="Times New Roman"/>
          <w:color w:val="000000"/>
          <w:szCs w:val="27"/>
          <w:lang w:eastAsia="zh-Hans"/>
        </w:rPr>
        <w:t>家公司完成首次公开发行，总共发行55,938万股，募集资金</w:t>
      </w:r>
      <w:r>
        <w:rPr>
          <w:rFonts w:ascii="Times New Roman" w:hAnsi="Times New Roman" w:cs="Times New Roman"/>
          <w:color w:val="000000"/>
          <w:szCs w:val="27"/>
          <w:lang w:eastAsia="zh-Hans"/>
        </w:rPr>
        <w:t>2,198</w:t>
      </w:r>
      <w:r>
        <w:rPr>
          <w:rFonts w:ascii="Times New Roman" w:hAnsi="Times New Roman" w:cs="Times New Roman"/>
          <w:color w:val="000000"/>
          <w:szCs w:val="27"/>
        </w:rPr>
        <w:t>,</w:t>
      </w:r>
      <w:r>
        <w:rPr>
          <w:rFonts w:ascii="Times New Roman" w:hAnsi="Times New Roman" w:cs="Times New Roman"/>
          <w:color w:val="000000"/>
          <w:szCs w:val="27"/>
          <w:lang w:eastAsia="zh-Hans"/>
        </w:rPr>
        <w:t>492.37</w:t>
      </w:r>
      <w:r>
        <w:rPr>
          <w:rFonts w:hint="eastAsia" w:ascii="Times New Roman" w:hAnsi="Times New Roman" w:cs="Times New Roman"/>
          <w:color w:val="000000"/>
          <w:szCs w:val="27"/>
        </w:rPr>
        <w:t>万</w:t>
      </w:r>
      <w:r>
        <w:rPr>
          <w:rFonts w:hint="eastAsia" w:ascii="Times New Roman" w:hAnsi="Times New Roman" w:cs="Times New Roman"/>
          <w:color w:val="000000"/>
          <w:szCs w:val="27"/>
          <w:lang w:eastAsia="zh-Hans"/>
        </w:rPr>
        <w:t>元。</w:t>
      </w:r>
    </w:p>
    <w:p w14:paraId="34C26E73">
      <w:pPr>
        <w:numPr>
          <w:ilvl w:val="255"/>
          <w:numId w:val="0"/>
        </w:numPr>
        <w:tabs>
          <w:tab w:val="left" w:pos="0"/>
          <w:tab w:val="left" w:pos="840"/>
        </w:tabs>
        <w:spacing w:after="156" w:afterLines="50" w:line="360" w:lineRule="auto"/>
        <w:ind w:firstLine="480" w:firstLineChars="200"/>
        <w:jc w:val="both"/>
        <w:rPr>
          <w:rFonts w:ascii="Times New Roman" w:hAnsi="Times New Roman" w:cs="Times New Roman"/>
          <w:color w:val="000000"/>
          <w:szCs w:val="27"/>
          <w:lang w:eastAsia="zh-Hans"/>
        </w:rPr>
      </w:pPr>
      <w:r>
        <w:rPr>
          <w:rFonts w:hint="eastAsia" w:ascii="Times New Roman" w:hAnsi="Times New Roman" w:cs="Times New Roman"/>
          <w:color w:val="000000"/>
          <w:szCs w:val="27"/>
          <w:lang w:eastAsia="zh-Hans"/>
        </w:rPr>
        <w:t>其中，沪市主板</w:t>
      </w:r>
      <w:r>
        <w:rPr>
          <w:rFonts w:hint="eastAsia" w:ascii="Times New Roman" w:hAnsi="Times New Roman" w:cs="Times New Roman"/>
          <w:color w:val="000000"/>
          <w:szCs w:val="27"/>
        </w:rPr>
        <w:t>发行1家，共发行</w:t>
      </w:r>
      <w:r>
        <w:rPr>
          <w:rFonts w:hint="eastAsia" w:ascii="Times New Roman" w:hAnsi="Times New Roman"/>
        </w:rPr>
        <w:t>4,123万股，募集资金71,987.58万元</w:t>
      </w:r>
      <w:r>
        <w:rPr>
          <w:rFonts w:hint="eastAsia" w:ascii="Times New Roman" w:hAnsi="Times New Roman" w:cs="Times New Roman"/>
          <w:color w:val="000000"/>
          <w:szCs w:val="27"/>
          <w:lang w:eastAsia="zh-Hans"/>
        </w:rPr>
        <w:t>；深市主板发行1家，共发行</w:t>
      </w:r>
      <w:r>
        <w:rPr>
          <w:rFonts w:hint="eastAsia" w:ascii="Times New Roman" w:hAnsi="Times New Roman"/>
        </w:rPr>
        <w:t>5,556</w:t>
      </w:r>
      <w:r>
        <w:rPr>
          <w:rFonts w:hint="eastAsia" w:ascii="Times New Roman" w:hAnsi="Times New Roman" w:cs="Times New Roman"/>
          <w:color w:val="000000"/>
          <w:szCs w:val="27"/>
          <w:lang w:eastAsia="zh-Hans"/>
        </w:rPr>
        <w:t>万股，募集资金</w:t>
      </w:r>
      <w:r>
        <w:rPr>
          <w:rFonts w:ascii="Times New Roman" w:hAnsi="Times New Roman" w:cs="Times New Roman"/>
          <w:color w:val="000000"/>
          <w:szCs w:val="27"/>
          <w:lang w:eastAsia="zh-Hans"/>
        </w:rPr>
        <w:t>469,259.76</w:t>
      </w:r>
      <w:r>
        <w:rPr>
          <w:rFonts w:hint="eastAsia" w:ascii="Times New Roman" w:hAnsi="Times New Roman" w:cs="Times New Roman"/>
          <w:color w:val="000000"/>
          <w:szCs w:val="27"/>
          <w:lang w:eastAsia="zh-Hans"/>
        </w:rPr>
        <w:t>万元；创业板发行</w:t>
      </w:r>
      <w:r>
        <w:rPr>
          <w:rFonts w:hint="eastAsia" w:ascii="Times New Roman" w:hAnsi="Times New Roman" w:cs="Times New Roman"/>
          <w:color w:val="000000"/>
          <w:szCs w:val="27"/>
        </w:rPr>
        <w:t>3</w:t>
      </w:r>
      <w:r>
        <w:rPr>
          <w:rFonts w:hint="eastAsia" w:ascii="Times New Roman" w:hAnsi="Times New Roman" w:cs="Times New Roman"/>
          <w:color w:val="000000"/>
          <w:szCs w:val="27"/>
          <w:lang w:eastAsia="zh-Hans"/>
        </w:rPr>
        <w:t>家，共发行13,492万股，募集资金</w:t>
      </w:r>
      <w:r>
        <w:rPr>
          <w:rFonts w:ascii="Times New Roman" w:hAnsi="Times New Roman"/>
          <w:lang w:bidi="ar"/>
        </w:rPr>
        <w:t>322,525.94</w:t>
      </w:r>
      <w:r>
        <w:rPr>
          <w:rFonts w:hint="eastAsia" w:ascii="Times New Roman" w:hAnsi="Times New Roman" w:cs="Times New Roman"/>
          <w:color w:val="000000"/>
          <w:szCs w:val="27"/>
          <w:lang w:eastAsia="zh-Hans"/>
        </w:rPr>
        <w:t>万元；科创板发行</w:t>
      </w:r>
      <w:r>
        <w:rPr>
          <w:rFonts w:hint="eastAsia" w:ascii="Times New Roman" w:hAnsi="Times New Roman" w:cs="Times New Roman"/>
          <w:color w:val="000000"/>
          <w:szCs w:val="27"/>
        </w:rPr>
        <w:t>4</w:t>
      </w:r>
      <w:r>
        <w:rPr>
          <w:rFonts w:hint="eastAsia" w:ascii="Times New Roman" w:hAnsi="Times New Roman" w:cs="Times New Roman"/>
          <w:color w:val="000000"/>
          <w:szCs w:val="27"/>
          <w:lang w:eastAsia="zh-Hans"/>
        </w:rPr>
        <w:t>家，共发行11,54</w:t>
      </w:r>
      <w:r>
        <w:rPr>
          <w:rFonts w:ascii="Times New Roman" w:hAnsi="Times New Roman" w:cs="Times New Roman"/>
          <w:color w:val="000000"/>
          <w:szCs w:val="27"/>
          <w:lang w:eastAsia="zh-Hans"/>
        </w:rPr>
        <w:t>5</w:t>
      </w:r>
      <w:r>
        <w:rPr>
          <w:rFonts w:hint="eastAsia" w:ascii="Times New Roman" w:hAnsi="Times New Roman" w:cs="Times New Roman"/>
          <w:color w:val="000000"/>
          <w:szCs w:val="27"/>
          <w:lang w:eastAsia="zh-Hans"/>
        </w:rPr>
        <w:t>万股，募集资金1,035,037.83万元；北交所发行</w:t>
      </w:r>
      <w:r>
        <w:rPr>
          <w:rFonts w:hint="eastAsia" w:ascii="Times New Roman" w:hAnsi="Times New Roman" w:cs="Times New Roman"/>
          <w:color w:val="000000"/>
          <w:szCs w:val="27"/>
        </w:rPr>
        <w:t>8</w:t>
      </w:r>
      <w:r>
        <w:rPr>
          <w:rFonts w:hint="eastAsia" w:ascii="Times New Roman" w:hAnsi="Times New Roman" w:cs="Times New Roman"/>
          <w:color w:val="000000"/>
          <w:szCs w:val="27"/>
          <w:lang w:eastAsia="zh-Hans"/>
        </w:rPr>
        <w:t>家，共发行21,222万股，募集资金299,6</w:t>
      </w:r>
      <w:r>
        <w:rPr>
          <w:rFonts w:ascii="Times New Roman" w:hAnsi="Times New Roman" w:cs="Times New Roman"/>
          <w:color w:val="000000"/>
          <w:szCs w:val="27"/>
          <w:lang w:eastAsia="zh-Hans"/>
        </w:rPr>
        <w:t>81.26</w:t>
      </w:r>
      <w:r>
        <w:rPr>
          <w:rFonts w:hint="eastAsia" w:ascii="Times New Roman" w:hAnsi="Times New Roman" w:cs="Times New Roman"/>
          <w:color w:val="000000"/>
          <w:szCs w:val="27"/>
          <w:lang w:eastAsia="zh-Hans"/>
        </w:rPr>
        <w:t>万元。</w:t>
      </w:r>
    </w:p>
    <w:p w14:paraId="7276A774">
      <w:pPr>
        <w:numPr>
          <w:ilvl w:val="0"/>
          <w:numId w:val="2"/>
        </w:numPr>
        <w:tabs>
          <w:tab w:val="left" w:pos="0"/>
          <w:tab w:val="left" w:pos="4680"/>
        </w:tabs>
        <w:spacing w:after="156" w:afterLines="50" w:line="360" w:lineRule="auto"/>
        <w:ind w:left="-480" w:firstLine="480"/>
        <w:rPr>
          <w:rFonts w:ascii="Times New Roman" w:hAnsi="Times New Roman"/>
          <w:b/>
          <w:bCs/>
        </w:rPr>
      </w:pPr>
      <w:r>
        <w:rPr>
          <w:rFonts w:ascii="Times New Roman" w:hAnsi="Times New Roman" w:cs="Times New Roman"/>
          <w:color w:val="000000"/>
        </w:rPr>
        <w:t>沪市主板IPO发行公司情况</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1603"/>
        <w:gridCol w:w="1755"/>
        <w:gridCol w:w="1559"/>
        <w:gridCol w:w="1764"/>
        <w:gridCol w:w="1578"/>
      </w:tblGrid>
      <w:tr w14:paraId="456C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1029" w:type="dxa"/>
            <w:shd w:val="solid" w:color="C0C0C0" w:fill="auto"/>
            <w:vAlign w:val="center"/>
          </w:tcPr>
          <w:p w14:paraId="4D02F4EA">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代码</w:t>
            </w:r>
          </w:p>
        </w:tc>
        <w:tc>
          <w:tcPr>
            <w:tcW w:w="1603" w:type="dxa"/>
            <w:shd w:val="solid" w:color="C0C0C0" w:fill="auto"/>
            <w:vAlign w:val="center"/>
          </w:tcPr>
          <w:p w14:paraId="057AA4E1">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股票简称</w:t>
            </w:r>
          </w:p>
        </w:tc>
        <w:tc>
          <w:tcPr>
            <w:tcW w:w="1755" w:type="dxa"/>
            <w:shd w:val="solid" w:color="C0C0C0" w:fill="auto"/>
            <w:vAlign w:val="center"/>
          </w:tcPr>
          <w:p w14:paraId="4D14067B">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募集资金总额</w:t>
            </w:r>
            <w:r>
              <w:rPr>
                <w:rFonts w:hint="eastAsia" w:ascii="Times New Roman" w:hAnsi="Times New Roman" w:cs="Times New Roman"/>
                <w:b/>
                <w:shd w:val="clear" w:color="auto" w:fill="C0C0C0"/>
              </w:rPr>
              <w:t>（万元）</w:t>
            </w:r>
          </w:p>
        </w:tc>
        <w:tc>
          <w:tcPr>
            <w:tcW w:w="1559" w:type="dxa"/>
            <w:shd w:val="solid" w:color="C0C0C0" w:fill="auto"/>
            <w:vAlign w:val="center"/>
          </w:tcPr>
          <w:p w14:paraId="1449861C">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上市日期</w:t>
            </w:r>
          </w:p>
        </w:tc>
        <w:tc>
          <w:tcPr>
            <w:tcW w:w="1764" w:type="dxa"/>
            <w:shd w:val="solid" w:color="C0C0C0" w:fill="auto"/>
            <w:vAlign w:val="center"/>
          </w:tcPr>
          <w:p w14:paraId="63AAA973">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发行价</w:t>
            </w:r>
            <w:r>
              <w:rPr>
                <w:rFonts w:hint="eastAsia" w:ascii="Times New Roman" w:hAnsi="Times New Roman" w:cs="Times New Roman"/>
                <w:b/>
                <w:shd w:val="clear" w:color="auto" w:fill="C0C0C0"/>
              </w:rPr>
              <w:t>（元）</w:t>
            </w:r>
          </w:p>
        </w:tc>
        <w:tc>
          <w:tcPr>
            <w:tcW w:w="1578" w:type="dxa"/>
            <w:shd w:val="solid" w:color="C0C0C0" w:fill="auto"/>
            <w:vAlign w:val="center"/>
          </w:tcPr>
          <w:p w14:paraId="25339358">
            <w:pPr>
              <w:shd w:val="solid" w:color="C0C0C0" w:fill="auto"/>
              <w:autoSpaceDN w:val="0"/>
              <w:jc w:val="center"/>
              <w:textAlignment w:val="center"/>
              <w:rPr>
                <w:rFonts w:ascii="Times New Roman" w:hAnsi="Times New Roman"/>
                <w:b/>
                <w:shd w:val="clear" w:color="auto" w:fill="C0C0C0"/>
              </w:rPr>
            </w:pPr>
            <w:r>
              <w:rPr>
                <w:rFonts w:ascii="Times New Roman" w:hAnsi="Times New Roman" w:cs="Times New Roman"/>
                <w:b/>
                <w:shd w:val="clear" w:color="auto" w:fill="C0C0C0"/>
              </w:rPr>
              <w:t>发行量</w:t>
            </w:r>
          </w:p>
          <w:p w14:paraId="46A86665">
            <w:pPr>
              <w:shd w:val="solid" w:color="C0C0C0" w:fill="auto"/>
              <w:autoSpaceDN w:val="0"/>
              <w:jc w:val="center"/>
              <w:textAlignment w:val="center"/>
              <w:rPr>
                <w:rFonts w:ascii="Times New Roman" w:hAnsi="Times New Roman"/>
                <w:b/>
                <w:bCs/>
              </w:rPr>
            </w:pPr>
            <w:r>
              <w:rPr>
                <w:rFonts w:hint="eastAsia" w:ascii="Times New Roman" w:hAnsi="Times New Roman" w:cs="Times New Roman"/>
                <w:b/>
                <w:shd w:val="clear" w:color="auto" w:fill="C0C0C0"/>
              </w:rPr>
              <w:t>（万股）</w:t>
            </w:r>
          </w:p>
        </w:tc>
      </w:tr>
      <w:tr w14:paraId="7D13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9" w:type="dxa"/>
            <w:shd w:val="solid" w:color="FFFFFF" w:fill="auto"/>
            <w:vAlign w:val="center"/>
          </w:tcPr>
          <w:p w14:paraId="0093739A">
            <w:pPr>
              <w:widowControl w:val="0"/>
              <w:jc w:val="center"/>
              <w:rPr>
                <w:rFonts w:ascii="Times New Roman" w:hAnsi="Times New Roman" w:cs="Times New Roman"/>
              </w:rPr>
            </w:pPr>
            <w:r>
              <w:rPr>
                <w:rFonts w:ascii="Times New Roman" w:hAnsi="Times New Roman" w:cs="Times New Roman"/>
              </w:rPr>
              <w:t>603468</w:t>
            </w:r>
          </w:p>
        </w:tc>
        <w:tc>
          <w:tcPr>
            <w:tcW w:w="1603" w:type="dxa"/>
            <w:shd w:val="solid" w:color="FFFFFF" w:fill="auto"/>
            <w:vAlign w:val="center"/>
          </w:tcPr>
          <w:p w14:paraId="33C69B76">
            <w:pPr>
              <w:widowControl w:val="0"/>
              <w:jc w:val="center"/>
              <w:rPr>
                <w:rFonts w:ascii="Times New Roman" w:hAnsi="Times New Roman" w:cs="Times New Roman"/>
              </w:rPr>
            </w:pPr>
            <w:r>
              <w:rPr>
                <w:rFonts w:ascii="Times New Roman" w:hAnsi="Times New Roman" w:cs="Times New Roman"/>
              </w:rPr>
              <w:t>津富士达</w:t>
            </w:r>
          </w:p>
        </w:tc>
        <w:tc>
          <w:tcPr>
            <w:tcW w:w="1755" w:type="dxa"/>
            <w:shd w:val="solid" w:color="FFFFFF" w:fill="auto"/>
            <w:vAlign w:val="center"/>
          </w:tcPr>
          <w:p w14:paraId="6546C067">
            <w:pPr>
              <w:shd w:val="solid" w:color="FFFFFF" w:fill="auto"/>
              <w:autoSpaceDN w:val="0"/>
              <w:jc w:val="right"/>
              <w:textAlignment w:val="center"/>
              <w:rPr>
                <w:rFonts w:ascii="Times New Roman" w:hAnsi="Times New Roman"/>
              </w:rPr>
            </w:pPr>
            <w:r>
              <w:rPr>
                <w:rFonts w:hint="eastAsia" w:ascii="Times New Roman" w:hAnsi="Times New Roman"/>
              </w:rPr>
              <w:t>71,987.58</w:t>
            </w:r>
          </w:p>
        </w:tc>
        <w:tc>
          <w:tcPr>
            <w:tcW w:w="1559" w:type="dxa"/>
            <w:shd w:val="solid" w:color="FFFFFF" w:fill="auto"/>
            <w:vAlign w:val="center"/>
          </w:tcPr>
          <w:p w14:paraId="66502025">
            <w:pPr>
              <w:shd w:val="solid" w:color="FFFFFF" w:fill="auto"/>
              <w:autoSpaceDN w:val="0"/>
              <w:jc w:val="center"/>
              <w:textAlignment w:val="center"/>
              <w:rPr>
                <w:rFonts w:ascii="Times New Roman" w:hAnsi="Times New Roman"/>
              </w:rPr>
            </w:pPr>
            <w:r>
              <w:rPr>
                <w:rFonts w:ascii="Times New Roman" w:hAnsi="Times New Roman" w:cs="Times New Roman"/>
              </w:rPr>
              <w:t>2026-0</w:t>
            </w:r>
            <w:r>
              <w:rPr>
                <w:rFonts w:hint="eastAsia" w:ascii="Times New Roman" w:hAnsi="Times New Roman" w:cs="Times New Roman"/>
              </w:rPr>
              <w:t>8-06</w:t>
            </w:r>
          </w:p>
        </w:tc>
        <w:tc>
          <w:tcPr>
            <w:tcW w:w="1764" w:type="dxa"/>
            <w:shd w:val="solid" w:color="FFFFFF" w:fill="auto"/>
            <w:vAlign w:val="center"/>
          </w:tcPr>
          <w:p w14:paraId="2AEE232E">
            <w:pPr>
              <w:shd w:val="solid" w:color="FFFFFF" w:fill="auto"/>
              <w:autoSpaceDN w:val="0"/>
              <w:jc w:val="right"/>
              <w:textAlignment w:val="center"/>
              <w:rPr>
                <w:rFonts w:ascii="Times New Roman" w:hAnsi="Times New Roman"/>
              </w:rPr>
            </w:pPr>
            <w:r>
              <w:rPr>
                <w:rFonts w:hint="eastAsia" w:ascii="Times New Roman" w:hAnsi="Times New Roman"/>
              </w:rPr>
              <w:t>17.46</w:t>
            </w:r>
          </w:p>
        </w:tc>
        <w:tc>
          <w:tcPr>
            <w:tcW w:w="1578" w:type="dxa"/>
            <w:shd w:val="solid" w:color="FFFFFF" w:fill="auto"/>
            <w:vAlign w:val="center"/>
          </w:tcPr>
          <w:p w14:paraId="0CC8593B">
            <w:pPr>
              <w:shd w:val="solid" w:color="FFFFFF" w:fill="auto"/>
              <w:autoSpaceDN w:val="0"/>
              <w:jc w:val="right"/>
              <w:textAlignment w:val="center"/>
              <w:rPr>
                <w:rFonts w:ascii="Times New Roman" w:hAnsi="Times New Roman"/>
              </w:rPr>
            </w:pPr>
            <w:r>
              <w:rPr>
                <w:rFonts w:hint="eastAsia" w:ascii="Times New Roman" w:hAnsi="Times New Roman"/>
              </w:rPr>
              <w:t>4,123</w:t>
            </w:r>
          </w:p>
        </w:tc>
      </w:tr>
      <w:tr w14:paraId="622C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9" w:type="dxa"/>
            <w:shd w:val="solid" w:color="FFFFFF" w:fill="auto"/>
            <w:vAlign w:val="center"/>
          </w:tcPr>
          <w:p w14:paraId="7F3C96E8">
            <w:pPr>
              <w:shd w:val="solid" w:color="FFFFFF" w:fill="auto"/>
              <w:autoSpaceDN w:val="0"/>
              <w:jc w:val="center"/>
              <w:textAlignment w:val="center"/>
              <w:rPr>
                <w:rFonts w:ascii="Times New Roman" w:hAnsi="Times New Roman"/>
                <w:b/>
                <w:bCs/>
                <w:lang w:eastAsia="zh-Hans"/>
              </w:rPr>
            </w:pPr>
            <w:r>
              <w:rPr>
                <w:rFonts w:ascii="Times New Roman" w:hAnsi="Times New Roman" w:cs="Times New Roman"/>
                <w:b/>
                <w:bCs/>
                <w:lang w:eastAsia="zh-Hans"/>
              </w:rPr>
              <w:t>总计</w:t>
            </w:r>
          </w:p>
        </w:tc>
        <w:tc>
          <w:tcPr>
            <w:tcW w:w="1603" w:type="dxa"/>
            <w:shd w:val="solid" w:color="FFFFFF" w:fill="auto"/>
            <w:vAlign w:val="center"/>
          </w:tcPr>
          <w:p w14:paraId="527642C8">
            <w:pPr>
              <w:shd w:val="solid" w:color="FFFFFF" w:fill="auto"/>
              <w:autoSpaceDN w:val="0"/>
              <w:jc w:val="center"/>
              <w:textAlignment w:val="center"/>
              <w:rPr>
                <w:rFonts w:ascii="Times New Roman" w:hAnsi="Times New Roman"/>
                <w:b/>
                <w:bCs/>
              </w:rPr>
            </w:pPr>
          </w:p>
        </w:tc>
        <w:tc>
          <w:tcPr>
            <w:tcW w:w="1755" w:type="dxa"/>
            <w:shd w:val="solid" w:color="FFFFFF" w:fill="auto"/>
            <w:vAlign w:val="center"/>
          </w:tcPr>
          <w:p w14:paraId="1DECE047">
            <w:pPr>
              <w:shd w:val="solid" w:color="FFFFFF" w:fill="auto"/>
              <w:autoSpaceDN w:val="0"/>
              <w:jc w:val="right"/>
              <w:textAlignment w:val="center"/>
              <w:rPr>
                <w:rFonts w:ascii="Times New Roman" w:hAnsi="Times New Roman"/>
                <w:b/>
                <w:bCs/>
              </w:rPr>
            </w:pPr>
            <w:r>
              <w:rPr>
                <w:rFonts w:hint="eastAsia" w:ascii="Times New Roman" w:hAnsi="Times New Roman"/>
                <w:b/>
                <w:bCs/>
              </w:rPr>
              <w:t>71,987.58</w:t>
            </w:r>
          </w:p>
        </w:tc>
        <w:tc>
          <w:tcPr>
            <w:tcW w:w="1559" w:type="dxa"/>
            <w:shd w:val="solid" w:color="FFFFFF" w:fill="auto"/>
            <w:vAlign w:val="center"/>
          </w:tcPr>
          <w:p w14:paraId="2364D3AB">
            <w:pPr>
              <w:shd w:val="solid" w:color="FFFFFF" w:fill="auto"/>
              <w:autoSpaceDN w:val="0"/>
              <w:jc w:val="center"/>
              <w:textAlignment w:val="center"/>
              <w:rPr>
                <w:rFonts w:ascii="Times New Roman" w:hAnsi="Times New Roman"/>
                <w:b/>
                <w:bCs/>
              </w:rPr>
            </w:pPr>
          </w:p>
        </w:tc>
        <w:tc>
          <w:tcPr>
            <w:tcW w:w="1764" w:type="dxa"/>
            <w:shd w:val="solid" w:color="FFFFFF" w:fill="auto"/>
            <w:vAlign w:val="center"/>
          </w:tcPr>
          <w:p w14:paraId="6E1912B9">
            <w:pPr>
              <w:shd w:val="solid" w:color="FFFFFF" w:fill="auto"/>
              <w:autoSpaceDN w:val="0"/>
              <w:jc w:val="right"/>
              <w:textAlignment w:val="center"/>
              <w:rPr>
                <w:rFonts w:ascii="Times New Roman" w:hAnsi="Times New Roman"/>
                <w:b/>
                <w:bCs/>
              </w:rPr>
            </w:pPr>
          </w:p>
        </w:tc>
        <w:tc>
          <w:tcPr>
            <w:tcW w:w="1578" w:type="dxa"/>
            <w:shd w:val="solid" w:color="FFFFFF" w:fill="auto"/>
            <w:vAlign w:val="center"/>
          </w:tcPr>
          <w:p w14:paraId="52F0279C">
            <w:pPr>
              <w:shd w:val="solid" w:color="FFFFFF" w:fill="auto"/>
              <w:autoSpaceDN w:val="0"/>
              <w:jc w:val="right"/>
              <w:textAlignment w:val="center"/>
              <w:rPr>
                <w:rFonts w:ascii="Times New Roman" w:hAnsi="Times New Roman"/>
                <w:b/>
                <w:bCs/>
              </w:rPr>
            </w:pPr>
            <w:r>
              <w:rPr>
                <w:rFonts w:hint="eastAsia" w:ascii="Times New Roman" w:hAnsi="Times New Roman"/>
                <w:b/>
                <w:bCs/>
              </w:rPr>
              <w:t>4,123</w:t>
            </w:r>
          </w:p>
        </w:tc>
      </w:tr>
    </w:tbl>
    <w:p w14:paraId="5E8989E1">
      <w:pPr>
        <w:numPr>
          <w:ilvl w:val="0"/>
          <w:numId w:val="2"/>
        </w:numPr>
        <w:tabs>
          <w:tab w:val="left" w:pos="0"/>
          <w:tab w:val="left" w:pos="4680"/>
        </w:tabs>
        <w:spacing w:before="157" w:beforeLines="50" w:after="156" w:afterLines="50" w:line="360" w:lineRule="auto"/>
        <w:ind w:left="-482" w:firstLine="482"/>
        <w:rPr>
          <w:rFonts w:ascii="Times New Roman" w:hAnsi="Times New Roman"/>
        </w:rPr>
      </w:pPr>
      <w:r>
        <w:rPr>
          <w:rFonts w:hint="eastAsia" w:ascii="Times New Roman" w:hAnsi="Times New Roman" w:cs="Times New Roman"/>
          <w:color w:val="000000"/>
          <w:lang w:eastAsia="zh-Hans"/>
        </w:rPr>
        <w:t>深</w:t>
      </w:r>
      <w:r>
        <w:rPr>
          <w:rFonts w:ascii="Times New Roman" w:hAnsi="Times New Roman" w:cs="Times New Roman"/>
          <w:color w:val="000000"/>
        </w:rPr>
        <w:t>市主板IPO发行公司情况</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1603"/>
        <w:gridCol w:w="1755"/>
        <w:gridCol w:w="1559"/>
        <w:gridCol w:w="1745"/>
        <w:gridCol w:w="1597"/>
      </w:tblGrid>
      <w:tr w14:paraId="3719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1029" w:type="dxa"/>
            <w:shd w:val="solid" w:color="C0C0C0" w:fill="auto"/>
            <w:vAlign w:val="center"/>
          </w:tcPr>
          <w:p w14:paraId="5D7B596C">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代码</w:t>
            </w:r>
          </w:p>
        </w:tc>
        <w:tc>
          <w:tcPr>
            <w:tcW w:w="1603" w:type="dxa"/>
            <w:shd w:val="solid" w:color="C0C0C0" w:fill="auto"/>
            <w:vAlign w:val="center"/>
          </w:tcPr>
          <w:p w14:paraId="60227885">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股票简称</w:t>
            </w:r>
          </w:p>
        </w:tc>
        <w:tc>
          <w:tcPr>
            <w:tcW w:w="1755" w:type="dxa"/>
            <w:shd w:val="solid" w:color="C0C0C0" w:fill="auto"/>
            <w:vAlign w:val="center"/>
          </w:tcPr>
          <w:p w14:paraId="257682ED">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募集资金总额</w:t>
            </w:r>
            <w:r>
              <w:rPr>
                <w:rFonts w:hint="eastAsia" w:ascii="Times New Roman" w:hAnsi="Times New Roman" w:cs="Times New Roman"/>
                <w:b/>
                <w:shd w:val="clear" w:color="auto" w:fill="C0C0C0"/>
              </w:rPr>
              <w:t>（万元）</w:t>
            </w:r>
          </w:p>
        </w:tc>
        <w:tc>
          <w:tcPr>
            <w:tcW w:w="1559" w:type="dxa"/>
            <w:shd w:val="solid" w:color="C0C0C0" w:fill="auto"/>
            <w:vAlign w:val="center"/>
          </w:tcPr>
          <w:p w14:paraId="4E897432">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上市日期</w:t>
            </w:r>
          </w:p>
        </w:tc>
        <w:tc>
          <w:tcPr>
            <w:tcW w:w="1745" w:type="dxa"/>
            <w:shd w:val="solid" w:color="C0C0C0" w:fill="auto"/>
            <w:vAlign w:val="center"/>
          </w:tcPr>
          <w:p w14:paraId="0A3B818D">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发行价</w:t>
            </w:r>
            <w:r>
              <w:rPr>
                <w:rFonts w:hint="eastAsia" w:ascii="Times New Roman" w:hAnsi="Times New Roman" w:cs="Times New Roman"/>
                <w:b/>
                <w:shd w:val="clear" w:color="auto" w:fill="C0C0C0"/>
              </w:rPr>
              <w:t>（元）</w:t>
            </w:r>
          </w:p>
        </w:tc>
        <w:tc>
          <w:tcPr>
            <w:tcW w:w="1597" w:type="dxa"/>
            <w:shd w:val="solid" w:color="C0C0C0" w:fill="auto"/>
            <w:vAlign w:val="center"/>
          </w:tcPr>
          <w:p w14:paraId="27E5BA78">
            <w:pPr>
              <w:shd w:val="solid" w:color="C0C0C0" w:fill="auto"/>
              <w:autoSpaceDN w:val="0"/>
              <w:jc w:val="center"/>
              <w:textAlignment w:val="center"/>
              <w:rPr>
                <w:rFonts w:ascii="Times New Roman" w:hAnsi="Times New Roman"/>
                <w:b/>
                <w:shd w:val="clear" w:color="auto" w:fill="C0C0C0"/>
              </w:rPr>
            </w:pPr>
            <w:r>
              <w:rPr>
                <w:rFonts w:ascii="Times New Roman" w:hAnsi="Times New Roman" w:cs="Times New Roman"/>
                <w:b/>
                <w:shd w:val="clear" w:color="auto" w:fill="C0C0C0"/>
              </w:rPr>
              <w:t>发行量</w:t>
            </w:r>
          </w:p>
          <w:p w14:paraId="332F4292">
            <w:pPr>
              <w:shd w:val="solid" w:color="C0C0C0" w:fill="auto"/>
              <w:autoSpaceDN w:val="0"/>
              <w:jc w:val="center"/>
              <w:textAlignment w:val="center"/>
              <w:rPr>
                <w:rFonts w:ascii="Times New Roman" w:hAnsi="Times New Roman"/>
                <w:b/>
                <w:bCs/>
              </w:rPr>
            </w:pPr>
            <w:r>
              <w:rPr>
                <w:rFonts w:hint="eastAsia" w:ascii="Times New Roman" w:hAnsi="Times New Roman" w:cs="Times New Roman"/>
                <w:b/>
                <w:shd w:val="clear" w:color="auto" w:fill="C0C0C0"/>
              </w:rPr>
              <w:t>（万股）</w:t>
            </w:r>
          </w:p>
        </w:tc>
      </w:tr>
      <w:tr w14:paraId="357A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9" w:type="dxa"/>
            <w:vAlign w:val="center"/>
          </w:tcPr>
          <w:p w14:paraId="6CE733D1">
            <w:pPr>
              <w:widowControl w:val="0"/>
              <w:jc w:val="center"/>
            </w:pPr>
            <w:r>
              <w:rPr>
                <w:rFonts w:ascii="Times New Roman" w:hAnsi="Times New Roman" w:cs="Times New Roman"/>
              </w:rPr>
              <w:t>001232</w:t>
            </w:r>
          </w:p>
        </w:tc>
        <w:tc>
          <w:tcPr>
            <w:tcW w:w="1603" w:type="dxa"/>
            <w:vAlign w:val="center"/>
          </w:tcPr>
          <w:p w14:paraId="7CBBD501">
            <w:pPr>
              <w:widowControl w:val="0"/>
              <w:jc w:val="center"/>
            </w:pPr>
            <w:r>
              <w:rPr>
                <w:rFonts w:hint="eastAsia"/>
              </w:rPr>
              <w:t>嘉立创</w:t>
            </w:r>
          </w:p>
        </w:tc>
        <w:tc>
          <w:tcPr>
            <w:tcW w:w="1755" w:type="dxa"/>
            <w:shd w:val="solid" w:color="FFFFFF" w:fill="auto"/>
            <w:vAlign w:val="center"/>
          </w:tcPr>
          <w:p w14:paraId="4CE77FC6">
            <w:pPr>
              <w:shd w:val="solid" w:color="FFFFFF" w:fill="auto"/>
              <w:autoSpaceDN w:val="0"/>
              <w:jc w:val="right"/>
              <w:textAlignment w:val="center"/>
              <w:rPr>
                <w:rFonts w:ascii="Times New Roman" w:hAnsi="Times New Roman"/>
              </w:rPr>
            </w:pPr>
            <w:r>
              <w:rPr>
                <w:rFonts w:ascii="Times New Roman" w:hAnsi="Times New Roman"/>
              </w:rPr>
              <w:t>469,259.76</w:t>
            </w:r>
          </w:p>
        </w:tc>
        <w:tc>
          <w:tcPr>
            <w:tcW w:w="1559" w:type="dxa"/>
            <w:shd w:val="solid" w:color="FFFFFF" w:fill="auto"/>
            <w:vAlign w:val="center"/>
          </w:tcPr>
          <w:p w14:paraId="681DA4DF">
            <w:pPr>
              <w:shd w:val="solid" w:color="FFFFFF" w:fill="auto"/>
              <w:autoSpaceDN w:val="0"/>
              <w:jc w:val="center"/>
              <w:textAlignment w:val="center"/>
              <w:rPr>
                <w:rFonts w:ascii="Times New Roman" w:hAnsi="Times New Roman"/>
              </w:rPr>
            </w:pPr>
            <w:r>
              <w:rPr>
                <w:rFonts w:ascii="Times New Roman" w:hAnsi="Times New Roman" w:cs="Times New Roman"/>
              </w:rPr>
              <w:t>2026-0</w:t>
            </w:r>
            <w:r>
              <w:rPr>
                <w:rFonts w:hint="eastAsia" w:ascii="Times New Roman" w:hAnsi="Times New Roman" w:cs="Times New Roman"/>
              </w:rPr>
              <w:t>8-04</w:t>
            </w:r>
          </w:p>
        </w:tc>
        <w:tc>
          <w:tcPr>
            <w:tcW w:w="1745" w:type="dxa"/>
            <w:shd w:val="solid" w:color="FFFFFF" w:fill="auto"/>
            <w:vAlign w:val="center"/>
          </w:tcPr>
          <w:p w14:paraId="544AE5F6">
            <w:pPr>
              <w:shd w:val="solid" w:color="FFFFFF" w:fill="auto"/>
              <w:autoSpaceDN w:val="0"/>
              <w:jc w:val="right"/>
              <w:textAlignment w:val="center"/>
              <w:rPr>
                <w:rFonts w:ascii="Times New Roman" w:hAnsi="Times New Roman"/>
              </w:rPr>
            </w:pPr>
            <w:r>
              <w:rPr>
                <w:rFonts w:hint="eastAsia" w:ascii="Times New Roman" w:hAnsi="Times New Roman" w:cs="Times New Roman"/>
              </w:rPr>
              <w:t>84.46</w:t>
            </w:r>
          </w:p>
        </w:tc>
        <w:tc>
          <w:tcPr>
            <w:tcW w:w="1597" w:type="dxa"/>
            <w:shd w:val="solid" w:color="FFFFFF" w:fill="auto"/>
            <w:vAlign w:val="center"/>
          </w:tcPr>
          <w:p w14:paraId="5864FE3C">
            <w:pPr>
              <w:shd w:val="solid" w:color="FFFFFF" w:fill="auto"/>
              <w:autoSpaceDN w:val="0"/>
              <w:jc w:val="right"/>
              <w:textAlignment w:val="center"/>
              <w:rPr>
                <w:rFonts w:ascii="Times New Roman" w:hAnsi="Times New Roman"/>
              </w:rPr>
            </w:pPr>
            <w:r>
              <w:rPr>
                <w:rFonts w:hint="eastAsia" w:ascii="Times New Roman" w:hAnsi="Times New Roman"/>
              </w:rPr>
              <w:t>5,556</w:t>
            </w:r>
          </w:p>
        </w:tc>
      </w:tr>
      <w:tr w14:paraId="498A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29" w:type="dxa"/>
            <w:shd w:val="solid" w:color="FFFFFF" w:fill="auto"/>
            <w:vAlign w:val="center"/>
          </w:tcPr>
          <w:p w14:paraId="29E69B58">
            <w:pPr>
              <w:shd w:val="solid" w:color="FFFFFF" w:fill="auto"/>
              <w:autoSpaceDN w:val="0"/>
              <w:jc w:val="center"/>
              <w:textAlignment w:val="center"/>
              <w:rPr>
                <w:rFonts w:ascii="Times New Roman" w:hAnsi="Times New Roman"/>
                <w:b/>
                <w:bCs/>
                <w:lang w:eastAsia="zh-Hans"/>
              </w:rPr>
            </w:pPr>
            <w:r>
              <w:rPr>
                <w:rFonts w:ascii="Times New Roman" w:hAnsi="Times New Roman" w:cs="Times New Roman"/>
                <w:b/>
                <w:bCs/>
                <w:lang w:eastAsia="zh-Hans"/>
              </w:rPr>
              <w:t>总计</w:t>
            </w:r>
          </w:p>
        </w:tc>
        <w:tc>
          <w:tcPr>
            <w:tcW w:w="1603" w:type="dxa"/>
            <w:shd w:val="solid" w:color="FFFFFF" w:fill="auto"/>
            <w:vAlign w:val="center"/>
          </w:tcPr>
          <w:p w14:paraId="0EE24840">
            <w:pPr>
              <w:shd w:val="solid" w:color="FFFFFF" w:fill="auto"/>
              <w:autoSpaceDN w:val="0"/>
              <w:jc w:val="center"/>
              <w:textAlignment w:val="center"/>
              <w:rPr>
                <w:rFonts w:ascii="Times New Roman" w:hAnsi="Times New Roman"/>
                <w:b/>
                <w:bCs/>
              </w:rPr>
            </w:pPr>
          </w:p>
        </w:tc>
        <w:tc>
          <w:tcPr>
            <w:tcW w:w="1755" w:type="dxa"/>
            <w:shd w:val="solid" w:color="FFFFFF" w:fill="auto"/>
            <w:vAlign w:val="center"/>
          </w:tcPr>
          <w:p w14:paraId="19FA8B74">
            <w:pPr>
              <w:shd w:val="solid" w:color="FFFFFF" w:fill="auto"/>
              <w:autoSpaceDN w:val="0"/>
              <w:jc w:val="right"/>
              <w:textAlignment w:val="cente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w:instrText>
            </w:r>
            <w:r>
              <w:rPr>
                <w:rFonts w:hint="eastAsia" w:ascii="Times New Roman" w:hAnsi="Times New Roman"/>
                <w:b/>
                <w:bCs/>
              </w:rPr>
              <w:instrText xml:space="preserve">=SUM(ABOVE)</w:instrText>
            </w:r>
            <w:r>
              <w:rPr>
                <w:rFonts w:ascii="Times New Roman" w:hAnsi="Times New Roman"/>
                <w:b/>
                <w:bCs/>
              </w:rPr>
              <w:instrText xml:space="preserve"> </w:instrText>
            </w:r>
            <w:r>
              <w:rPr>
                <w:rFonts w:ascii="Times New Roman" w:hAnsi="Times New Roman"/>
                <w:b/>
                <w:bCs/>
              </w:rPr>
              <w:fldChar w:fldCharType="separate"/>
            </w:r>
            <w:r>
              <w:rPr>
                <w:rFonts w:ascii="Times New Roman" w:hAnsi="Times New Roman"/>
                <w:b/>
                <w:bCs/>
              </w:rPr>
              <w:t>469,259.76</w:t>
            </w:r>
            <w:r>
              <w:rPr>
                <w:rFonts w:ascii="Times New Roman" w:hAnsi="Times New Roman"/>
                <w:b/>
                <w:bCs/>
              </w:rPr>
              <w:fldChar w:fldCharType="end"/>
            </w:r>
          </w:p>
        </w:tc>
        <w:tc>
          <w:tcPr>
            <w:tcW w:w="1559" w:type="dxa"/>
            <w:shd w:val="solid" w:color="FFFFFF" w:fill="auto"/>
            <w:vAlign w:val="center"/>
          </w:tcPr>
          <w:p w14:paraId="3BC4B091">
            <w:pPr>
              <w:shd w:val="solid" w:color="FFFFFF" w:fill="auto"/>
              <w:autoSpaceDN w:val="0"/>
              <w:jc w:val="center"/>
              <w:textAlignment w:val="center"/>
              <w:rPr>
                <w:rFonts w:ascii="Times New Roman" w:hAnsi="Times New Roman"/>
                <w:b/>
                <w:bCs/>
              </w:rPr>
            </w:pPr>
          </w:p>
        </w:tc>
        <w:tc>
          <w:tcPr>
            <w:tcW w:w="1745" w:type="dxa"/>
            <w:shd w:val="solid" w:color="FFFFFF" w:fill="auto"/>
            <w:vAlign w:val="center"/>
          </w:tcPr>
          <w:p w14:paraId="03B672D6">
            <w:pPr>
              <w:shd w:val="solid" w:color="FFFFFF" w:fill="auto"/>
              <w:autoSpaceDN w:val="0"/>
              <w:jc w:val="right"/>
              <w:textAlignment w:val="center"/>
              <w:rPr>
                <w:rFonts w:ascii="Times New Roman" w:hAnsi="Times New Roman"/>
                <w:b/>
                <w:bCs/>
              </w:rPr>
            </w:pPr>
          </w:p>
        </w:tc>
        <w:tc>
          <w:tcPr>
            <w:tcW w:w="1597" w:type="dxa"/>
            <w:shd w:val="solid" w:color="FFFFFF" w:fill="auto"/>
            <w:vAlign w:val="center"/>
          </w:tcPr>
          <w:p w14:paraId="09602C26">
            <w:pPr>
              <w:shd w:val="solid" w:color="FFFFFF" w:fill="auto"/>
              <w:autoSpaceDN w:val="0"/>
              <w:jc w:val="right"/>
              <w:textAlignment w:val="center"/>
              <w:rPr>
                <w:rFonts w:ascii="Times New Roman" w:hAnsi="Times New Roman"/>
                <w:b/>
                <w:bCs/>
              </w:rPr>
            </w:pPr>
            <w:r>
              <w:rPr>
                <w:rFonts w:hint="eastAsia" w:ascii="Times New Roman" w:hAnsi="Times New Roman"/>
                <w:b/>
                <w:bCs/>
              </w:rPr>
              <w:t>5,556</w:t>
            </w:r>
          </w:p>
        </w:tc>
      </w:tr>
    </w:tbl>
    <w:p w14:paraId="5EB70253">
      <w:pPr>
        <w:numPr>
          <w:ilvl w:val="0"/>
          <w:numId w:val="2"/>
        </w:numPr>
        <w:tabs>
          <w:tab w:val="left" w:pos="0"/>
          <w:tab w:val="left" w:pos="4680"/>
        </w:tabs>
        <w:spacing w:before="157" w:beforeLines="50" w:after="156" w:afterLines="50" w:line="360" w:lineRule="auto"/>
        <w:ind w:left="-482" w:firstLine="482"/>
        <w:rPr>
          <w:rFonts w:ascii="Times New Roman" w:hAnsi="Times New Roman"/>
          <w:lang w:eastAsia="zh-Hans"/>
        </w:rPr>
      </w:pPr>
      <w:r>
        <w:rPr>
          <w:rFonts w:hint="eastAsia" w:ascii="Times New Roman" w:hAnsi="Times New Roman" w:cs="Times New Roman"/>
          <w:color w:val="000000"/>
          <w:lang w:eastAsia="zh-Hans"/>
        </w:rPr>
        <w:t>创业板IPO发行公司情况</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394"/>
        <w:gridCol w:w="1755"/>
        <w:gridCol w:w="1559"/>
        <w:gridCol w:w="1745"/>
        <w:gridCol w:w="1597"/>
      </w:tblGrid>
      <w:tr w14:paraId="4BEF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1238" w:type="dxa"/>
            <w:shd w:val="solid" w:color="C0C0C0" w:fill="auto"/>
            <w:vAlign w:val="center"/>
          </w:tcPr>
          <w:p w14:paraId="2DE10F62">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代码</w:t>
            </w:r>
          </w:p>
        </w:tc>
        <w:tc>
          <w:tcPr>
            <w:tcW w:w="1394" w:type="dxa"/>
            <w:shd w:val="solid" w:color="C0C0C0" w:fill="auto"/>
            <w:vAlign w:val="center"/>
          </w:tcPr>
          <w:p w14:paraId="2E17E54A">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股票简称</w:t>
            </w:r>
          </w:p>
        </w:tc>
        <w:tc>
          <w:tcPr>
            <w:tcW w:w="1755" w:type="dxa"/>
            <w:shd w:val="solid" w:color="C0C0C0" w:fill="auto"/>
            <w:vAlign w:val="center"/>
          </w:tcPr>
          <w:p w14:paraId="65C414AF">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募集资金总额</w:t>
            </w:r>
            <w:r>
              <w:rPr>
                <w:rFonts w:hint="eastAsia" w:ascii="Times New Roman" w:hAnsi="Times New Roman" w:cs="Times New Roman"/>
                <w:b/>
                <w:shd w:val="clear" w:color="auto" w:fill="C0C0C0"/>
              </w:rPr>
              <w:t>（万元）</w:t>
            </w:r>
          </w:p>
        </w:tc>
        <w:tc>
          <w:tcPr>
            <w:tcW w:w="1559" w:type="dxa"/>
            <w:shd w:val="solid" w:color="C0C0C0" w:fill="auto"/>
            <w:vAlign w:val="center"/>
          </w:tcPr>
          <w:p w14:paraId="2E5A5E62">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上市日期</w:t>
            </w:r>
          </w:p>
        </w:tc>
        <w:tc>
          <w:tcPr>
            <w:tcW w:w="1745" w:type="dxa"/>
            <w:shd w:val="solid" w:color="C0C0C0" w:fill="auto"/>
            <w:vAlign w:val="center"/>
          </w:tcPr>
          <w:p w14:paraId="5BE3A327">
            <w:pPr>
              <w:shd w:val="solid" w:color="C0C0C0" w:fill="auto"/>
              <w:autoSpaceDN w:val="0"/>
              <w:jc w:val="center"/>
              <w:textAlignment w:val="center"/>
              <w:rPr>
                <w:rFonts w:ascii="Times New Roman" w:hAnsi="Times New Roman"/>
                <w:b/>
                <w:bCs/>
              </w:rPr>
            </w:pPr>
            <w:r>
              <w:rPr>
                <w:rFonts w:ascii="Times New Roman" w:hAnsi="Times New Roman" w:cs="Times New Roman"/>
                <w:b/>
                <w:shd w:val="clear" w:color="auto" w:fill="C0C0C0"/>
              </w:rPr>
              <w:t>发行价</w:t>
            </w:r>
            <w:r>
              <w:rPr>
                <w:rFonts w:hint="eastAsia" w:ascii="Times New Roman" w:hAnsi="Times New Roman" w:cs="Times New Roman"/>
                <w:b/>
                <w:shd w:val="clear" w:color="auto" w:fill="C0C0C0"/>
              </w:rPr>
              <w:t>（元）</w:t>
            </w:r>
          </w:p>
        </w:tc>
        <w:tc>
          <w:tcPr>
            <w:tcW w:w="1597" w:type="dxa"/>
            <w:shd w:val="solid" w:color="C0C0C0" w:fill="auto"/>
            <w:vAlign w:val="center"/>
          </w:tcPr>
          <w:p w14:paraId="46F6E8EF">
            <w:pPr>
              <w:shd w:val="solid" w:color="C0C0C0" w:fill="auto"/>
              <w:autoSpaceDN w:val="0"/>
              <w:jc w:val="center"/>
              <w:textAlignment w:val="center"/>
              <w:rPr>
                <w:rFonts w:ascii="Times New Roman" w:hAnsi="Times New Roman"/>
                <w:b/>
                <w:shd w:val="clear" w:color="auto" w:fill="C0C0C0"/>
              </w:rPr>
            </w:pPr>
            <w:r>
              <w:rPr>
                <w:rFonts w:ascii="Times New Roman" w:hAnsi="Times New Roman" w:cs="Times New Roman"/>
                <w:b/>
                <w:shd w:val="clear" w:color="auto" w:fill="C0C0C0"/>
              </w:rPr>
              <w:t>发行量</w:t>
            </w:r>
          </w:p>
          <w:p w14:paraId="0952E388">
            <w:pPr>
              <w:shd w:val="solid" w:color="C0C0C0" w:fill="auto"/>
              <w:autoSpaceDN w:val="0"/>
              <w:jc w:val="center"/>
              <w:textAlignment w:val="center"/>
              <w:rPr>
                <w:rFonts w:ascii="Times New Roman" w:hAnsi="Times New Roman"/>
                <w:b/>
                <w:bCs/>
              </w:rPr>
            </w:pPr>
            <w:r>
              <w:rPr>
                <w:rFonts w:hint="eastAsia" w:ascii="Times New Roman" w:hAnsi="Times New Roman" w:cs="Times New Roman"/>
                <w:b/>
                <w:shd w:val="clear" w:color="auto" w:fill="C0C0C0"/>
              </w:rPr>
              <w:t>（万股）</w:t>
            </w:r>
          </w:p>
        </w:tc>
      </w:tr>
      <w:tr w14:paraId="01C1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40630870">
            <w:pPr>
              <w:widowControl w:val="0"/>
              <w:jc w:val="center"/>
              <w:rPr>
                <w:rFonts w:ascii="Times New Roman" w:hAnsi="Times New Roman" w:cs="Times New Roman"/>
              </w:rPr>
            </w:pPr>
            <w:r>
              <w:rPr>
                <w:rFonts w:ascii="Times New Roman" w:hAnsi="Times New Roman" w:cs="Times New Roman"/>
              </w:rPr>
              <w:t>301707</w:t>
            </w:r>
          </w:p>
        </w:tc>
        <w:tc>
          <w:tcPr>
            <w:tcW w:w="1394" w:type="dxa"/>
            <w:vAlign w:val="center"/>
          </w:tcPr>
          <w:p w14:paraId="32477FF6">
            <w:pPr>
              <w:widowControl w:val="0"/>
              <w:jc w:val="center"/>
            </w:pPr>
            <w:r>
              <w:rPr>
                <w:rFonts w:hint="eastAsia"/>
              </w:rPr>
              <w:t>展芯股份</w:t>
            </w:r>
          </w:p>
        </w:tc>
        <w:tc>
          <w:tcPr>
            <w:tcW w:w="1755" w:type="dxa"/>
            <w:vAlign w:val="center"/>
          </w:tcPr>
          <w:p w14:paraId="7C04E0F2">
            <w:pPr>
              <w:shd w:val="solid" w:color="FFFFFF" w:fill="auto"/>
              <w:autoSpaceDN w:val="0"/>
              <w:jc w:val="right"/>
              <w:textAlignment w:val="center"/>
            </w:pPr>
            <w:r>
              <w:rPr>
                <w:rFonts w:ascii="Times New Roman" w:hAnsi="Times New Roman" w:cs="Times New Roman"/>
                <w:kern w:val="2"/>
              </w:rPr>
              <w:t>96</w:t>
            </w:r>
            <w:r>
              <w:rPr>
                <w:rFonts w:hint="eastAsia" w:ascii="Times New Roman" w:hAnsi="Times New Roman" w:cs="Times New Roman"/>
                <w:kern w:val="2"/>
              </w:rPr>
              <w:t>,</w:t>
            </w:r>
            <w:r>
              <w:rPr>
                <w:rFonts w:ascii="Times New Roman" w:hAnsi="Times New Roman" w:cs="Times New Roman"/>
                <w:kern w:val="2"/>
              </w:rPr>
              <w:t>4</w:t>
            </w:r>
            <w:r>
              <w:rPr>
                <w:rFonts w:hint="eastAsia" w:ascii="Times New Roman" w:hAnsi="Times New Roman" w:cs="Times New Roman"/>
                <w:kern w:val="2"/>
              </w:rPr>
              <w:t>26.40</w:t>
            </w:r>
          </w:p>
        </w:tc>
        <w:tc>
          <w:tcPr>
            <w:tcW w:w="1559" w:type="dxa"/>
            <w:shd w:val="solid" w:color="FFFFFF" w:fill="auto"/>
            <w:vAlign w:val="center"/>
          </w:tcPr>
          <w:p w14:paraId="6236A949">
            <w:pPr>
              <w:shd w:val="solid" w:color="FFFFFF" w:fill="auto"/>
              <w:autoSpaceDN w:val="0"/>
              <w:jc w:val="center"/>
              <w:textAlignment w:val="center"/>
              <w:rPr>
                <w:rFonts w:ascii="Times New Roman" w:hAnsi="Times New Roman" w:cs="Times New Roman"/>
              </w:rPr>
            </w:pPr>
            <w:r>
              <w:rPr>
                <w:rFonts w:ascii="Times New Roman" w:hAnsi="Times New Roman" w:cs="Times New Roman"/>
              </w:rPr>
              <w:t>2026-08-07</w:t>
            </w:r>
          </w:p>
        </w:tc>
        <w:tc>
          <w:tcPr>
            <w:tcW w:w="1745" w:type="dxa"/>
            <w:shd w:val="solid" w:color="FFFFFF" w:fill="auto"/>
            <w:vAlign w:val="center"/>
          </w:tcPr>
          <w:p w14:paraId="66093BA5">
            <w:pPr>
              <w:shd w:val="solid" w:color="FFFFFF" w:fill="auto"/>
              <w:autoSpaceDN w:val="0"/>
              <w:jc w:val="right"/>
              <w:textAlignment w:val="center"/>
              <w:rPr>
                <w:rFonts w:ascii="Times New Roman" w:hAnsi="Times New Roman"/>
              </w:rPr>
            </w:pPr>
            <w:r>
              <w:rPr>
                <w:rFonts w:hint="eastAsia" w:ascii="Times New Roman" w:hAnsi="Times New Roman" w:cs="Times New Roman"/>
                <w:kern w:val="2"/>
              </w:rPr>
              <w:t>23.45</w:t>
            </w:r>
          </w:p>
        </w:tc>
        <w:tc>
          <w:tcPr>
            <w:tcW w:w="1597" w:type="dxa"/>
            <w:shd w:val="solid" w:color="FFFFFF" w:fill="auto"/>
            <w:vAlign w:val="center"/>
          </w:tcPr>
          <w:p w14:paraId="0B4218E3">
            <w:pPr>
              <w:shd w:val="solid" w:color="FFFFFF" w:fill="auto"/>
              <w:autoSpaceDN w:val="0"/>
              <w:jc w:val="right"/>
              <w:textAlignment w:val="center"/>
              <w:rPr>
                <w:rFonts w:ascii="Times New Roman" w:hAnsi="Times New Roman"/>
              </w:rPr>
            </w:pPr>
            <w:r>
              <w:rPr>
                <w:rFonts w:hint="eastAsia" w:ascii="Times New Roman" w:hAnsi="Times New Roman"/>
              </w:rPr>
              <w:t>4,112</w:t>
            </w:r>
          </w:p>
        </w:tc>
      </w:tr>
      <w:tr w14:paraId="6C16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771269A6">
            <w:pPr>
              <w:widowControl w:val="0"/>
              <w:jc w:val="center"/>
              <w:rPr>
                <w:rFonts w:ascii="Times New Roman" w:hAnsi="Times New Roman" w:cs="Times New Roman"/>
                <w:lang w:eastAsia="zh-Hans"/>
              </w:rPr>
            </w:pPr>
            <w:r>
              <w:rPr>
                <w:rFonts w:ascii="Times New Roman" w:hAnsi="Times New Roman" w:cs="Times New Roman"/>
              </w:rPr>
              <w:t>301717</w:t>
            </w:r>
          </w:p>
        </w:tc>
        <w:tc>
          <w:tcPr>
            <w:tcW w:w="1394" w:type="dxa"/>
            <w:vAlign w:val="center"/>
          </w:tcPr>
          <w:p w14:paraId="186BF554">
            <w:pPr>
              <w:widowControl w:val="0"/>
              <w:jc w:val="center"/>
            </w:pPr>
            <w:r>
              <w:rPr>
                <w:rFonts w:hint="eastAsia"/>
              </w:rPr>
              <w:t>超纯应材</w:t>
            </w:r>
          </w:p>
        </w:tc>
        <w:tc>
          <w:tcPr>
            <w:tcW w:w="1755" w:type="dxa"/>
            <w:shd w:val="solid" w:color="FFFFFF" w:fill="auto"/>
            <w:vAlign w:val="center"/>
          </w:tcPr>
          <w:p w14:paraId="00AF50D7">
            <w:pPr>
              <w:shd w:val="solid" w:color="FFFFFF" w:fill="auto"/>
              <w:autoSpaceDN w:val="0"/>
              <w:jc w:val="right"/>
              <w:textAlignment w:val="center"/>
              <w:rPr>
                <w:rFonts w:hint="eastAsia" w:ascii="Times New Roman" w:hAnsi="Times New Roman" w:cs="Times New Roman"/>
                <w:kern w:val="2"/>
              </w:rPr>
            </w:pPr>
            <w:r>
              <w:rPr>
                <w:rFonts w:hint="eastAsia" w:ascii="Times New Roman" w:hAnsi="Times New Roman" w:cs="Times New Roman"/>
                <w:kern w:val="2"/>
              </w:rPr>
              <w:t>168,010.54</w:t>
            </w:r>
          </w:p>
        </w:tc>
        <w:tc>
          <w:tcPr>
            <w:tcW w:w="1559" w:type="dxa"/>
            <w:vAlign w:val="center"/>
          </w:tcPr>
          <w:p w14:paraId="60BCF9DB">
            <w:pPr>
              <w:widowControl w:val="0"/>
              <w:jc w:val="center"/>
              <w:rPr>
                <w:rFonts w:ascii="Times New Roman" w:hAnsi="Times New Roman" w:cs="Times New Roman"/>
              </w:rPr>
            </w:pPr>
            <w:r>
              <w:rPr>
                <w:rFonts w:ascii="Times New Roman" w:hAnsi="Times New Roman" w:cs="Times New Roman"/>
              </w:rPr>
              <w:t>2026-08-11</w:t>
            </w:r>
          </w:p>
        </w:tc>
        <w:tc>
          <w:tcPr>
            <w:tcW w:w="1745" w:type="dxa"/>
            <w:shd w:val="solid" w:color="FFFFFF" w:fill="auto"/>
            <w:vAlign w:val="center"/>
          </w:tcPr>
          <w:p w14:paraId="4CCA37C7">
            <w:pPr>
              <w:shd w:val="solid" w:color="FFFFFF" w:fill="auto"/>
              <w:autoSpaceDN w:val="0"/>
              <w:jc w:val="right"/>
              <w:textAlignment w:val="center"/>
              <w:rPr>
                <w:rFonts w:ascii="Times New Roman" w:hAnsi="Times New Roman" w:cs="Times New Roman"/>
                <w:kern w:val="2"/>
              </w:rPr>
            </w:pPr>
            <w:r>
              <w:rPr>
                <w:rFonts w:hint="eastAsia" w:ascii="Times New Roman" w:hAnsi="Times New Roman" w:cs="Times New Roman"/>
                <w:kern w:val="2"/>
              </w:rPr>
              <w:t>65.99</w:t>
            </w:r>
          </w:p>
        </w:tc>
        <w:tc>
          <w:tcPr>
            <w:tcW w:w="1597" w:type="dxa"/>
            <w:vAlign w:val="center"/>
          </w:tcPr>
          <w:p w14:paraId="04CA9DD8">
            <w:pPr>
              <w:widowControl w:val="0"/>
              <w:jc w:val="right"/>
            </w:pPr>
            <w:r>
              <w:rPr>
                <w:rFonts w:hint="eastAsia" w:ascii="Times New Roman" w:hAnsi="Times New Roman"/>
              </w:rPr>
              <w:t>2,546</w:t>
            </w:r>
          </w:p>
        </w:tc>
      </w:tr>
      <w:tr w14:paraId="3E82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28989621">
            <w:pPr>
              <w:widowControl w:val="0"/>
              <w:jc w:val="center"/>
              <w:rPr>
                <w:rFonts w:ascii="Times New Roman" w:hAnsi="Times New Roman" w:cs="Times New Roman"/>
              </w:rPr>
            </w:pPr>
            <w:r>
              <w:rPr>
                <w:rFonts w:ascii="Times New Roman" w:hAnsi="Times New Roman" w:cs="Times New Roman"/>
              </w:rPr>
              <w:t>301655</w:t>
            </w:r>
          </w:p>
        </w:tc>
        <w:tc>
          <w:tcPr>
            <w:tcW w:w="1394" w:type="dxa"/>
            <w:vAlign w:val="center"/>
          </w:tcPr>
          <w:p w14:paraId="00C43633">
            <w:pPr>
              <w:widowControl w:val="0"/>
              <w:jc w:val="center"/>
            </w:pPr>
            <w:r>
              <w:rPr>
                <w:rFonts w:hint="eastAsia"/>
              </w:rPr>
              <w:t>绿控传动</w:t>
            </w:r>
          </w:p>
        </w:tc>
        <w:tc>
          <w:tcPr>
            <w:tcW w:w="1755" w:type="dxa"/>
            <w:shd w:val="solid" w:color="FFFFFF" w:fill="auto"/>
            <w:vAlign w:val="center"/>
          </w:tcPr>
          <w:p w14:paraId="025FFD93">
            <w:pPr>
              <w:shd w:val="solid" w:color="FFFFFF" w:fill="auto"/>
              <w:autoSpaceDN w:val="0"/>
              <w:jc w:val="right"/>
              <w:textAlignment w:val="center"/>
              <w:rPr>
                <w:rFonts w:ascii="Times New Roman" w:hAnsi="Times New Roman" w:cs="Times New Roman"/>
                <w:kern w:val="2"/>
              </w:rPr>
            </w:pPr>
            <w:r>
              <w:rPr>
                <w:rFonts w:hint="eastAsia" w:ascii="Times New Roman" w:hAnsi="Times New Roman" w:cs="Times New Roman"/>
                <w:kern w:val="2"/>
              </w:rPr>
              <w:t>58,089.00</w:t>
            </w:r>
          </w:p>
        </w:tc>
        <w:tc>
          <w:tcPr>
            <w:tcW w:w="1559" w:type="dxa"/>
            <w:vAlign w:val="center"/>
          </w:tcPr>
          <w:p w14:paraId="378FA8FA">
            <w:pPr>
              <w:widowControl w:val="0"/>
              <w:jc w:val="center"/>
              <w:rPr>
                <w:rFonts w:ascii="Times New Roman" w:hAnsi="Times New Roman" w:cs="Times New Roman"/>
              </w:rPr>
            </w:pPr>
            <w:r>
              <w:rPr>
                <w:rFonts w:ascii="Times New Roman" w:hAnsi="Times New Roman" w:cs="Times New Roman"/>
              </w:rPr>
              <w:t>2026-08-20</w:t>
            </w:r>
          </w:p>
        </w:tc>
        <w:tc>
          <w:tcPr>
            <w:tcW w:w="1745" w:type="dxa"/>
            <w:shd w:val="solid" w:color="FFFFFF" w:fill="auto"/>
            <w:vAlign w:val="center"/>
          </w:tcPr>
          <w:p w14:paraId="1D52431E">
            <w:pPr>
              <w:shd w:val="solid" w:color="FFFFFF" w:fill="auto"/>
              <w:autoSpaceDN w:val="0"/>
              <w:jc w:val="right"/>
              <w:textAlignment w:val="center"/>
              <w:rPr>
                <w:rFonts w:ascii="Times New Roman" w:hAnsi="Times New Roman" w:cs="Times New Roman"/>
                <w:kern w:val="2"/>
              </w:rPr>
            </w:pPr>
            <w:r>
              <w:rPr>
                <w:rFonts w:hint="eastAsia" w:ascii="Times New Roman" w:hAnsi="Times New Roman" w:cs="Times New Roman"/>
                <w:kern w:val="2"/>
              </w:rPr>
              <w:t>8.50</w:t>
            </w:r>
          </w:p>
        </w:tc>
        <w:tc>
          <w:tcPr>
            <w:tcW w:w="1597" w:type="dxa"/>
            <w:vAlign w:val="center"/>
          </w:tcPr>
          <w:p w14:paraId="77E59B47">
            <w:pPr>
              <w:widowControl w:val="0"/>
              <w:jc w:val="right"/>
            </w:pPr>
            <w:r>
              <w:rPr>
                <w:rFonts w:hint="eastAsia" w:ascii="Times New Roman" w:hAnsi="Times New Roman"/>
              </w:rPr>
              <w:t>6,834</w:t>
            </w:r>
          </w:p>
        </w:tc>
      </w:tr>
      <w:tr w14:paraId="1D7E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shd w:val="solid" w:color="FFFFFF" w:fill="auto"/>
            <w:vAlign w:val="center"/>
          </w:tcPr>
          <w:p w14:paraId="41D62531">
            <w:pPr>
              <w:shd w:val="solid" w:color="FFFFFF" w:fill="auto"/>
              <w:autoSpaceDN w:val="0"/>
              <w:jc w:val="center"/>
              <w:textAlignment w:val="center"/>
              <w:rPr>
                <w:rFonts w:ascii="Times New Roman" w:hAnsi="Times New Roman"/>
                <w:b/>
                <w:bCs/>
              </w:rPr>
            </w:pPr>
            <w:r>
              <w:rPr>
                <w:rFonts w:ascii="Times New Roman" w:hAnsi="Times New Roman" w:cs="Times New Roman"/>
                <w:b/>
                <w:bCs/>
                <w:lang w:eastAsia="zh-Hans"/>
              </w:rPr>
              <w:t>总计</w:t>
            </w:r>
          </w:p>
        </w:tc>
        <w:tc>
          <w:tcPr>
            <w:tcW w:w="1394" w:type="dxa"/>
            <w:shd w:val="solid" w:color="FFFFFF" w:fill="auto"/>
            <w:vAlign w:val="center"/>
          </w:tcPr>
          <w:p w14:paraId="4F5DAACE">
            <w:pPr>
              <w:shd w:val="solid" w:color="FFFFFF" w:fill="auto"/>
              <w:autoSpaceDN w:val="0"/>
              <w:jc w:val="center"/>
              <w:textAlignment w:val="center"/>
              <w:rPr>
                <w:rFonts w:ascii="Times New Roman" w:hAnsi="Times New Roman"/>
                <w:b/>
                <w:bCs/>
              </w:rPr>
            </w:pPr>
          </w:p>
        </w:tc>
        <w:tc>
          <w:tcPr>
            <w:tcW w:w="1755" w:type="dxa"/>
            <w:shd w:val="solid" w:color="FFFFFF" w:fill="auto"/>
            <w:vAlign w:val="center"/>
          </w:tcPr>
          <w:p w14:paraId="576E9127">
            <w:pPr>
              <w:jc w:val="right"/>
              <w:textAlignment w:val="center"/>
              <w:rPr>
                <w:rFonts w:ascii="Times New Roman" w:hAnsi="Times New Roman"/>
                <w:b/>
                <w:bCs/>
                <w:lang w:bidi="ar"/>
              </w:rPr>
            </w:pPr>
            <w:r>
              <w:rPr>
                <w:rFonts w:ascii="Times New Roman" w:hAnsi="Times New Roman"/>
                <w:b/>
                <w:bCs/>
                <w:lang w:bidi="ar"/>
              </w:rPr>
              <w:fldChar w:fldCharType="begin"/>
            </w:r>
            <w:r>
              <w:rPr>
                <w:rFonts w:ascii="Times New Roman" w:hAnsi="Times New Roman"/>
                <w:b/>
                <w:bCs/>
                <w:lang w:bidi="ar"/>
              </w:rPr>
              <w:instrText xml:space="preserve"> =SUM(ABOVE) </w:instrText>
            </w:r>
            <w:r>
              <w:rPr>
                <w:rFonts w:ascii="Times New Roman" w:hAnsi="Times New Roman"/>
                <w:b/>
                <w:bCs/>
                <w:lang w:bidi="ar"/>
              </w:rPr>
              <w:fldChar w:fldCharType="separate"/>
            </w:r>
            <w:r>
              <w:rPr>
                <w:rFonts w:ascii="Times New Roman" w:hAnsi="Times New Roman"/>
                <w:b/>
                <w:bCs/>
                <w:lang w:bidi="ar"/>
              </w:rPr>
              <w:t>322,525.94</w:t>
            </w:r>
            <w:r>
              <w:rPr>
                <w:rFonts w:ascii="Times New Roman" w:hAnsi="Times New Roman"/>
                <w:b/>
                <w:bCs/>
                <w:lang w:bidi="ar"/>
              </w:rPr>
              <w:fldChar w:fldCharType="end"/>
            </w:r>
          </w:p>
        </w:tc>
        <w:tc>
          <w:tcPr>
            <w:tcW w:w="1559" w:type="dxa"/>
            <w:shd w:val="solid" w:color="FFFFFF" w:fill="auto"/>
            <w:vAlign w:val="center"/>
          </w:tcPr>
          <w:p w14:paraId="47C369B9">
            <w:pPr>
              <w:shd w:val="solid" w:color="FFFFFF" w:fill="auto"/>
              <w:autoSpaceDN w:val="0"/>
              <w:jc w:val="center"/>
              <w:textAlignment w:val="center"/>
              <w:rPr>
                <w:rFonts w:ascii="Times New Roman" w:hAnsi="Times New Roman"/>
                <w:b/>
                <w:bCs/>
              </w:rPr>
            </w:pPr>
          </w:p>
        </w:tc>
        <w:tc>
          <w:tcPr>
            <w:tcW w:w="1745" w:type="dxa"/>
            <w:shd w:val="solid" w:color="FFFFFF" w:fill="auto"/>
            <w:vAlign w:val="center"/>
          </w:tcPr>
          <w:p w14:paraId="2EBBAEE8">
            <w:pPr>
              <w:shd w:val="solid" w:color="FFFFFF" w:fill="auto"/>
              <w:autoSpaceDN w:val="0"/>
              <w:jc w:val="right"/>
              <w:textAlignment w:val="center"/>
              <w:rPr>
                <w:rFonts w:ascii="Times New Roman" w:hAnsi="Times New Roman"/>
                <w:b/>
                <w:bCs/>
              </w:rPr>
            </w:pPr>
          </w:p>
        </w:tc>
        <w:tc>
          <w:tcPr>
            <w:tcW w:w="1597" w:type="dxa"/>
            <w:shd w:val="solid" w:color="FFFFFF" w:fill="auto"/>
            <w:vAlign w:val="center"/>
          </w:tcPr>
          <w:p w14:paraId="7131C5CE">
            <w:pPr>
              <w:shd w:val="solid" w:color="FFFFFF" w:fill="auto"/>
              <w:autoSpaceDN w:val="0"/>
              <w:jc w:val="right"/>
              <w:textAlignment w:val="center"/>
              <w:rPr>
                <w:rFonts w:ascii="Times New Roman Bold" w:hAnsi="Times New Roman Bold" w:cs="Times New Roman Bold"/>
                <w:b/>
                <w:bCs/>
              </w:rPr>
            </w:pPr>
            <w:r>
              <w:rPr>
                <w:rFonts w:ascii="Times New Roman Bold" w:hAnsi="Times New Roman Bold" w:cs="Times New Roman Bold"/>
                <w:b/>
                <w:bCs/>
              </w:rPr>
              <w:fldChar w:fldCharType="begin"/>
            </w:r>
            <w:r>
              <w:rPr>
                <w:rFonts w:ascii="Times New Roman Bold" w:hAnsi="Times New Roman Bold" w:cs="Times New Roman Bold"/>
                <w:b/>
                <w:bCs/>
              </w:rPr>
              <w:instrText xml:space="preserve"> </w:instrText>
            </w:r>
            <w:r>
              <w:rPr>
                <w:rFonts w:hint="eastAsia" w:ascii="Times New Roman Bold" w:hAnsi="Times New Roman Bold" w:cs="Times New Roman Bold"/>
                <w:b/>
                <w:bCs/>
              </w:rPr>
              <w:instrText xml:space="preserve">=SUM(ABOVE)</w:instrText>
            </w:r>
            <w:r>
              <w:rPr>
                <w:rFonts w:ascii="Times New Roman Bold" w:hAnsi="Times New Roman Bold" w:cs="Times New Roman Bold"/>
                <w:b/>
                <w:bCs/>
              </w:rPr>
              <w:instrText xml:space="preserve"> </w:instrText>
            </w:r>
            <w:r>
              <w:rPr>
                <w:rFonts w:ascii="Times New Roman Bold" w:hAnsi="Times New Roman Bold" w:cs="Times New Roman Bold"/>
                <w:b/>
                <w:bCs/>
              </w:rPr>
              <w:fldChar w:fldCharType="separate"/>
            </w:r>
            <w:r>
              <w:rPr>
                <w:rFonts w:ascii="Times New Roman Bold" w:hAnsi="Times New Roman Bold" w:cs="Times New Roman Bold"/>
                <w:b/>
                <w:bCs/>
              </w:rPr>
              <w:t>13,492</w:t>
            </w:r>
            <w:r>
              <w:rPr>
                <w:rFonts w:ascii="Times New Roman Bold" w:hAnsi="Times New Roman Bold" w:cs="Times New Roman Bold"/>
                <w:b/>
                <w:bCs/>
              </w:rPr>
              <w:fldChar w:fldCharType="end"/>
            </w:r>
          </w:p>
        </w:tc>
      </w:tr>
    </w:tbl>
    <w:p w14:paraId="1726FB2D">
      <w:pPr>
        <w:numPr>
          <w:ilvl w:val="0"/>
          <w:numId w:val="2"/>
        </w:numPr>
        <w:tabs>
          <w:tab w:val="left" w:pos="0"/>
          <w:tab w:val="left" w:pos="4680"/>
        </w:tabs>
        <w:spacing w:before="157" w:beforeLines="50" w:after="156" w:afterLines="50" w:line="360" w:lineRule="auto"/>
        <w:ind w:left="-482" w:firstLine="482"/>
        <w:rPr>
          <w:rFonts w:hint="eastAsia" w:ascii="Times New Roman" w:hAnsi="Times New Roman" w:cs="Times New Roman"/>
          <w:color w:val="000000"/>
          <w:lang w:eastAsia="zh-Hans"/>
        </w:rPr>
      </w:pPr>
      <w:r>
        <w:rPr>
          <w:rFonts w:hint="eastAsia" w:ascii="Times New Roman" w:hAnsi="Times New Roman" w:cs="Times New Roman"/>
          <w:color w:val="000000"/>
          <w:lang w:eastAsia="zh-Hans"/>
        </w:rPr>
        <w:t>科创板IPO发行公司情况</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394"/>
        <w:gridCol w:w="1755"/>
        <w:gridCol w:w="1559"/>
        <w:gridCol w:w="1758"/>
        <w:gridCol w:w="1584"/>
      </w:tblGrid>
      <w:tr w14:paraId="0AE2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1238" w:type="dxa"/>
            <w:shd w:val="solid" w:color="C0C0C0" w:fill="auto"/>
            <w:vAlign w:val="center"/>
          </w:tcPr>
          <w:p w14:paraId="4D7EA159">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代码</w:t>
            </w:r>
          </w:p>
        </w:tc>
        <w:tc>
          <w:tcPr>
            <w:tcW w:w="1394" w:type="dxa"/>
            <w:shd w:val="solid" w:color="C0C0C0" w:fill="auto"/>
            <w:vAlign w:val="center"/>
          </w:tcPr>
          <w:p w14:paraId="0E00AF6C">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股票简称</w:t>
            </w:r>
          </w:p>
        </w:tc>
        <w:tc>
          <w:tcPr>
            <w:tcW w:w="1755" w:type="dxa"/>
            <w:shd w:val="solid" w:color="C0C0C0" w:fill="auto"/>
            <w:vAlign w:val="center"/>
          </w:tcPr>
          <w:p w14:paraId="4B567EC7">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募集资金总额（万元）</w:t>
            </w:r>
          </w:p>
        </w:tc>
        <w:tc>
          <w:tcPr>
            <w:tcW w:w="1559" w:type="dxa"/>
            <w:shd w:val="solid" w:color="C0C0C0" w:fill="auto"/>
            <w:vAlign w:val="center"/>
          </w:tcPr>
          <w:p w14:paraId="504A6924">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上市日期</w:t>
            </w:r>
          </w:p>
        </w:tc>
        <w:tc>
          <w:tcPr>
            <w:tcW w:w="1758" w:type="dxa"/>
            <w:shd w:val="solid" w:color="C0C0C0" w:fill="auto"/>
            <w:vAlign w:val="center"/>
          </w:tcPr>
          <w:p w14:paraId="51B0638B">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发行价（元）</w:t>
            </w:r>
          </w:p>
        </w:tc>
        <w:tc>
          <w:tcPr>
            <w:tcW w:w="1584" w:type="dxa"/>
            <w:shd w:val="solid" w:color="C0C0C0" w:fill="auto"/>
            <w:vAlign w:val="center"/>
          </w:tcPr>
          <w:p w14:paraId="76E7A0B0">
            <w:pPr>
              <w:shd w:val="solid" w:color="C0C0C0" w:fill="auto"/>
              <w:autoSpaceDN w:val="0"/>
              <w:jc w:val="center"/>
              <w:textAlignment w:val="center"/>
              <w:rPr>
                <w:rFonts w:ascii="Times New Roman" w:hAnsi="Times New Roman" w:cs="Times New Roman"/>
                <w:b/>
                <w:shd w:val="clear" w:color="auto" w:fill="C0C0C0"/>
              </w:rPr>
            </w:pPr>
            <w:r>
              <w:rPr>
                <w:rFonts w:ascii="Times New Roman" w:hAnsi="Times New Roman" w:cs="Times New Roman"/>
                <w:b/>
                <w:shd w:val="clear" w:color="auto" w:fill="C0C0C0"/>
              </w:rPr>
              <w:t>发行量</w:t>
            </w:r>
          </w:p>
          <w:p w14:paraId="2F0C6DEF">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（万股）</w:t>
            </w:r>
          </w:p>
        </w:tc>
      </w:tr>
      <w:tr w14:paraId="595B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234539B6">
            <w:pPr>
              <w:widowControl w:val="0"/>
              <w:jc w:val="center"/>
              <w:rPr>
                <w:rFonts w:ascii="Times New Roman" w:hAnsi="Times New Roman" w:cs="Times New Roman"/>
              </w:rPr>
            </w:pPr>
            <w:r>
              <w:rPr>
                <w:rFonts w:ascii="Times New Roman" w:hAnsi="Times New Roman" w:cs="Times New Roman"/>
              </w:rPr>
              <w:t>688828</w:t>
            </w:r>
          </w:p>
        </w:tc>
        <w:tc>
          <w:tcPr>
            <w:tcW w:w="1394" w:type="dxa"/>
            <w:vAlign w:val="center"/>
          </w:tcPr>
          <w:p w14:paraId="31C3BB08">
            <w:pPr>
              <w:widowControl w:val="0"/>
              <w:jc w:val="center"/>
              <w:rPr>
                <w:rFonts w:ascii="Times New Roman" w:hAnsi="Times New Roman" w:cs="Times New Roman"/>
              </w:rPr>
            </w:pPr>
            <w:r>
              <w:rPr>
                <w:rFonts w:ascii="Times New Roman" w:hAnsi="Times New Roman" w:cs="Times New Roman"/>
              </w:rPr>
              <w:t>国仪公司</w:t>
            </w:r>
          </w:p>
        </w:tc>
        <w:tc>
          <w:tcPr>
            <w:tcW w:w="1755" w:type="dxa"/>
            <w:shd w:val="solid" w:color="FFFFFF" w:fill="auto"/>
            <w:vAlign w:val="center"/>
          </w:tcPr>
          <w:p w14:paraId="3CEAF96C">
            <w:pPr>
              <w:widowControl w:val="0"/>
              <w:jc w:val="right"/>
              <w:rPr>
                <w:rFonts w:ascii="Times New Roman" w:hAnsi="Times New Roman" w:cs="Times New Roman"/>
              </w:rPr>
            </w:pPr>
            <w:r>
              <w:rPr>
                <w:rFonts w:ascii="Times New Roman" w:hAnsi="Times New Roman" w:cs="Times New Roman"/>
              </w:rPr>
              <w:t>84,901.22</w:t>
            </w:r>
          </w:p>
        </w:tc>
        <w:tc>
          <w:tcPr>
            <w:tcW w:w="1559" w:type="dxa"/>
            <w:vAlign w:val="center"/>
          </w:tcPr>
          <w:p w14:paraId="1D6F8412">
            <w:pPr>
              <w:widowControl w:val="0"/>
              <w:jc w:val="center"/>
              <w:rPr>
                <w:rFonts w:ascii="Times New Roman" w:hAnsi="Times New Roman" w:cs="Times New Roman"/>
              </w:rPr>
            </w:pPr>
            <w:r>
              <w:rPr>
                <w:rFonts w:ascii="Times New Roman" w:hAnsi="Times New Roman" w:cs="Times New Roman"/>
              </w:rPr>
              <w:t>2026-08-11</w:t>
            </w:r>
          </w:p>
        </w:tc>
        <w:tc>
          <w:tcPr>
            <w:tcW w:w="1758" w:type="dxa"/>
            <w:shd w:val="solid" w:color="FFFFFF" w:fill="auto"/>
            <w:vAlign w:val="center"/>
          </w:tcPr>
          <w:p w14:paraId="5A2A663A">
            <w:pPr>
              <w:widowControl w:val="0"/>
              <w:jc w:val="right"/>
              <w:rPr>
                <w:rFonts w:ascii="Times New Roman" w:hAnsi="Times New Roman" w:cs="Times New Roman"/>
              </w:rPr>
            </w:pPr>
            <w:r>
              <w:rPr>
                <w:rFonts w:ascii="Times New Roman" w:hAnsi="Times New Roman" w:cs="Times New Roman"/>
              </w:rPr>
              <w:t>21.22</w:t>
            </w:r>
          </w:p>
        </w:tc>
        <w:tc>
          <w:tcPr>
            <w:tcW w:w="1584" w:type="dxa"/>
            <w:shd w:val="solid" w:color="FFFFFF" w:fill="auto"/>
            <w:vAlign w:val="center"/>
          </w:tcPr>
          <w:p w14:paraId="27A0A80C">
            <w:pPr>
              <w:widowControl w:val="0"/>
              <w:jc w:val="right"/>
              <w:rPr>
                <w:rFonts w:ascii="Times New Roman" w:hAnsi="Times New Roman" w:cs="Times New Roman"/>
              </w:rPr>
            </w:pPr>
            <w:r>
              <w:rPr>
                <w:rFonts w:ascii="Times New Roman" w:hAnsi="Times New Roman" w:cs="Times New Roman"/>
              </w:rPr>
              <w:t>4,001</w:t>
            </w:r>
          </w:p>
        </w:tc>
      </w:tr>
      <w:tr w14:paraId="745D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2A372EBB">
            <w:pPr>
              <w:widowControl w:val="0"/>
              <w:jc w:val="center"/>
              <w:rPr>
                <w:rFonts w:ascii="Times New Roman" w:hAnsi="Times New Roman" w:cs="Times New Roman"/>
              </w:rPr>
            </w:pPr>
            <w:r>
              <w:rPr>
                <w:rFonts w:ascii="Times New Roman" w:hAnsi="Times New Roman" w:cs="Times New Roman"/>
              </w:rPr>
              <w:t>688826</w:t>
            </w:r>
          </w:p>
        </w:tc>
        <w:tc>
          <w:tcPr>
            <w:tcW w:w="1394" w:type="dxa"/>
            <w:vAlign w:val="center"/>
          </w:tcPr>
          <w:p w14:paraId="2208891D">
            <w:pPr>
              <w:widowControl w:val="0"/>
              <w:jc w:val="center"/>
              <w:rPr>
                <w:rFonts w:ascii="Times New Roman" w:hAnsi="Times New Roman" w:cs="Times New Roman"/>
              </w:rPr>
            </w:pPr>
            <w:r>
              <w:rPr>
                <w:rFonts w:ascii="Times New Roman" w:hAnsi="Times New Roman" w:cs="Times New Roman"/>
              </w:rPr>
              <w:t>频准激光</w:t>
            </w:r>
          </w:p>
        </w:tc>
        <w:tc>
          <w:tcPr>
            <w:tcW w:w="1755" w:type="dxa"/>
            <w:shd w:val="solid" w:color="FFFFFF" w:fill="auto"/>
            <w:vAlign w:val="center"/>
          </w:tcPr>
          <w:p w14:paraId="3C80D475">
            <w:pPr>
              <w:widowControl w:val="0"/>
              <w:jc w:val="right"/>
              <w:rPr>
                <w:rFonts w:ascii="Times New Roman" w:hAnsi="Times New Roman" w:cs="Times New Roman"/>
                <w:lang w:bidi="ar"/>
              </w:rPr>
            </w:pPr>
            <w:r>
              <w:rPr>
                <w:rFonts w:ascii="Times New Roman" w:hAnsi="Times New Roman" w:cs="Times New Roman"/>
              </w:rPr>
              <w:t>186,880.00</w:t>
            </w:r>
          </w:p>
        </w:tc>
        <w:tc>
          <w:tcPr>
            <w:tcW w:w="1559" w:type="dxa"/>
            <w:vAlign w:val="center"/>
          </w:tcPr>
          <w:p w14:paraId="35636BD0">
            <w:pPr>
              <w:widowControl w:val="0"/>
              <w:jc w:val="center"/>
              <w:rPr>
                <w:rFonts w:ascii="Times New Roman" w:hAnsi="Times New Roman" w:cs="Times New Roman"/>
              </w:rPr>
            </w:pPr>
            <w:r>
              <w:rPr>
                <w:rFonts w:ascii="Times New Roman" w:hAnsi="Times New Roman" w:cs="Times New Roman"/>
              </w:rPr>
              <w:t>2026-08-18</w:t>
            </w:r>
          </w:p>
        </w:tc>
        <w:tc>
          <w:tcPr>
            <w:tcW w:w="1758" w:type="dxa"/>
            <w:shd w:val="solid" w:color="FFFFFF" w:fill="auto"/>
            <w:vAlign w:val="center"/>
          </w:tcPr>
          <w:p w14:paraId="422BE633">
            <w:pPr>
              <w:widowControl w:val="0"/>
              <w:jc w:val="right"/>
              <w:rPr>
                <w:rFonts w:ascii="Times New Roman" w:hAnsi="Times New Roman" w:cs="Times New Roman"/>
              </w:rPr>
            </w:pPr>
            <w:r>
              <w:rPr>
                <w:rFonts w:ascii="Times New Roman" w:hAnsi="Times New Roman" w:cs="Times New Roman"/>
              </w:rPr>
              <w:t>186.88</w:t>
            </w:r>
          </w:p>
        </w:tc>
        <w:tc>
          <w:tcPr>
            <w:tcW w:w="1584" w:type="dxa"/>
            <w:shd w:val="solid" w:color="FFFFFF" w:fill="auto"/>
            <w:vAlign w:val="center"/>
          </w:tcPr>
          <w:p w14:paraId="292B11FD">
            <w:pPr>
              <w:widowControl w:val="0"/>
              <w:jc w:val="right"/>
              <w:rPr>
                <w:rFonts w:ascii="Times New Roman" w:hAnsi="Times New Roman" w:cs="Times New Roman"/>
              </w:rPr>
            </w:pPr>
            <w:r>
              <w:rPr>
                <w:rFonts w:ascii="Times New Roman" w:hAnsi="Times New Roman" w:cs="Times New Roman"/>
              </w:rPr>
              <w:t>1,000</w:t>
            </w:r>
          </w:p>
        </w:tc>
      </w:tr>
      <w:tr w14:paraId="7672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4F85AE7A">
            <w:pPr>
              <w:widowControl w:val="0"/>
              <w:jc w:val="center"/>
              <w:rPr>
                <w:rFonts w:ascii="Times New Roman" w:hAnsi="Times New Roman" w:cs="Times New Roman"/>
              </w:rPr>
            </w:pPr>
            <w:r>
              <w:rPr>
                <w:rFonts w:ascii="Times New Roman" w:hAnsi="Times New Roman" w:cs="Times New Roman"/>
              </w:rPr>
              <w:t>688836</w:t>
            </w:r>
          </w:p>
        </w:tc>
        <w:tc>
          <w:tcPr>
            <w:tcW w:w="1394" w:type="dxa"/>
            <w:vAlign w:val="center"/>
          </w:tcPr>
          <w:p w14:paraId="568368A4">
            <w:pPr>
              <w:widowControl w:val="0"/>
              <w:jc w:val="center"/>
              <w:rPr>
                <w:rFonts w:ascii="Times New Roman" w:hAnsi="Times New Roman" w:cs="Times New Roman"/>
              </w:rPr>
            </w:pPr>
            <w:r>
              <w:rPr>
                <w:rFonts w:ascii="Times New Roman" w:hAnsi="Times New Roman" w:cs="Times New Roman"/>
              </w:rPr>
              <w:t>宇树科技</w:t>
            </w:r>
          </w:p>
        </w:tc>
        <w:tc>
          <w:tcPr>
            <w:tcW w:w="1755" w:type="dxa"/>
            <w:shd w:val="solid" w:color="FFFFFF" w:fill="auto"/>
            <w:vAlign w:val="center"/>
          </w:tcPr>
          <w:p w14:paraId="0A52521E">
            <w:pPr>
              <w:widowControl w:val="0"/>
              <w:jc w:val="right"/>
              <w:rPr>
                <w:rFonts w:ascii="Times New Roman" w:hAnsi="Times New Roman" w:cs="Times New Roman"/>
                <w:lang w:bidi="ar"/>
              </w:rPr>
            </w:pPr>
            <w:r>
              <w:rPr>
                <w:rFonts w:ascii="Times New Roman" w:hAnsi="Times New Roman" w:cs="Times New Roman"/>
              </w:rPr>
              <w:t>609,9</w:t>
            </w:r>
            <w:r>
              <w:rPr>
                <w:rFonts w:hint="eastAsia" w:ascii="Times New Roman" w:hAnsi="Times New Roman" w:cs="Times New Roman"/>
              </w:rPr>
              <w:t>32</w:t>
            </w:r>
            <w:r>
              <w:rPr>
                <w:rFonts w:ascii="Times New Roman" w:hAnsi="Times New Roman" w:cs="Times New Roman"/>
              </w:rPr>
              <w:t>.</w:t>
            </w:r>
            <w:r>
              <w:rPr>
                <w:rFonts w:hint="eastAsia" w:ascii="Times New Roman" w:hAnsi="Times New Roman" w:cs="Times New Roman"/>
              </w:rPr>
              <w:t>22</w:t>
            </w:r>
          </w:p>
        </w:tc>
        <w:tc>
          <w:tcPr>
            <w:tcW w:w="1559" w:type="dxa"/>
            <w:vAlign w:val="center"/>
          </w:tcPr>
          <w:p w14:paraId="13250A04">
            <w:pPr>
              <w:widowControl w:val="0"/>
              <w:jc w:val="center"/>
              <w:rPr>
                <w:rFonts w:ascii="Times New Roman" w:hAnsi="Times New Roman" w:cs="Times New Roman"/>
              </w:rPr>
            </w:pPr>
            <w:r>
              <w:rPr>
                <w:rFonts w:ascii="Times New Roman" w:hAnsi="Times New Roman" w:cs="Times New Roman"/>
              </w:rPr>
              <w:t>2026-08-19</w:t>
            </w:r>
          </w:p>
        </w:tc>
        <w:tc>
          <w:tcPr>
            <w:tcW w:w="1758" w:type="dxa"/>
            <w:shd w:val="solid" w:color="FFFFFF" w:fill="auto"/>
            <w:vAlign w:val="center"/>
          </w:tcPr>
          <w:p w14:paraId="0EFDE903">
            <w:pPr>
              <w:widowControl w:val="0"/>
              <w:jc w:val="right"/>
              <w:rPr>
                <w:rFonts w:ascii="Times New Roman" w:hAnsi="Times New Roman" w:cs="Times New Roman"/>
              </w:rPr>
            </w:pPr>
            <w:r>
              <w:rPr>
                <w:rFonts w:ascii="Times New Roman" w:hAnsi="Times New Roman" w:cs="Times New Roman"/>
              </w:rPr>
              <w:t>150.80</w:t>
            </w:r>
          </w:p>
        </w:tc>
        <w:tc>
          <w:tcPr>
            <w:tcW w:w="1584" w:type="dxa"/>
            <w:shd w:val="solid" w:color="FFFFFF" w:fill="auto"/>
            <w:vAlign w:val="center"/>
          </w:tcPr>
          <w:p w14:paraId="3DE0DC5A">
            <w:pPr>
              <w:widowControl w:val="0"/>
              <w:jc w:val="right"/>
              <w:rPr>
                <w:rFonts w:ascii="Times New Roman" w:hAnsi="Times New Roman" w:cs="Times New Roman"/>
              </w:rPr>
            </w:pPr>
            <w:r>
              <w:rPr>
                <w:rFonts w:ascii="Times New Roman" w:hAnsi="Times New Roman" w:cs="Times New Roman"/>
              </w:rPr>
              <w:t>4,04</w:t>
            </w:r>
            <w:r>
              <w:rPr>
                <w:rFonts w:hint="eastAsia" w:ascii="Times New Roman" w:hAnsi="Times New Roman" w:cs="Times New Roman"/>
              </w:rPr>
              <w:t>5</w:t>
            </w:r>
          </w:p>
        </w:tc>
      </w:tr>
      <w:tr w14:paraId="7245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156A163C">
            <w:pPr>
              <w:widowControl w:val="0"/>
              <w:jc w:val="center"/>
              <w:rPr>
                <w:rFonts w:ascii="Times New Roman" w:hAnsi="Times New Roman" w:cs="Times New Roman"/>
              </w:rPr>
            </w:pPr>
            <w:r>
              <w:rPr>
                <w:rFonts w:ascii="Times New Roman" w:hAnsi="Times New Roman" w:cs="Times New Roman"/>
              </w:rPr>
              <w:t>688835</w:t>
            </w:r>
          </w:p>
        </w:tc>
        <w:tc>
          <w:tcPr>
            <w:tcW w:w="1394" w:type="dxa"/>
            <w:vAlign w:val="center"/>
          </w:tcPr>
          <w:p w14:paraId="21E3AAEE">
            <w:pPr>
              <w:widowControl w:val="0"/>
              <w:jc w:val="center"/>
              <w:rPr>
                <w:rFonts w:ascii="Times New Roman" w:hAnsi="Times New Roman" w:cs="Times New Roman"/>
              </w:rPr>
            </w:pPr>
            <w:r>
              <w:rPr>
                <w:rFonts w:ascii="Times New Roman" w:hAnsi="Times New Roman" w:cs="Times New Roman"/>
              </w:rPr>
              <w:t>高凯技术</w:t>
            </w:r>
          </w:p>
        </w:tc>
        <w:tc>
          <w:tcPr>
            <w:tcW w:w="1755" w:type="dxa"/>
            <w:shd w:val="solid" w:color="FFFFFF" w:fill="auto"/>
            <w:vAlign w:val="center"/>
          </w:tcPr>
          <w:p w14:paraId="3621299A">
            <w:pPr>
              <w:widowControl w:val="0"/>
              <w:jc w:val="right"/>
              <w:rPr>
                <w:rFonts w:ascii="Times New Roman" w:hAnsi="Times New Roman" w:cs="Times New Roman"/>
                <w:lang w:bidi="ar"/>
              </w:rPr>
            </w:pPr>
            <w:r>
              <w:rPr>
                <w:rFonts w:ascii="Times New Roman" w:hAnsi="Times New Roman" w:cs="Times New Roman"/>
              </w:rPr>
              <w:t>153,324.39</w:t>
            </w:r>
          </w:p>
        </w:tc>
        <w:tc>
          <w:tcPr>
            <w:tcW w:w="1559" w:type="dxa"/>
            <w:vAlign w:val="center"/>
          </w:tcPr>
          <w:p w14:paraId="3145DB2D">
            <w:pPr>
              <w:widowControl w:val="0"/>
              <w:jc w:val="center"/>
              <w:rPr>
                <w:rFonts w:ascii="Times New Roman" w:hAnsi="Times New Roman" w:cs="Times New Roman"/>
              </w:rPr>
            </w:pPr>
            <w:r>
              <w:rPr>
                <w:rFonts w:ascii="Times New Roman" w:hAnsi="Times New Roman" w:cs="Times New Roman"/>
              </w:rPr>
              <w:t>2026-08-25</w:t>
            </w:r>
          </w:p>
        </w:tc>
        <w:tc>
          <w:tcPr>
            <w:tcW w:w="1758" w:type="dxa"/>
            <w:shd w:val="solid" w:color="FFFFFF" w:fill="auto"/>
            <w:vAlign w:val="center"/>
          </w:tcPr>
          <w:p w14:paraId="5FF62C35">
            <w:pPr>
              <w:widowControl w:val="0"/>
              <w:jc w:val="right"/>
              <w:rPr>
                <w:rFonts w:ascii="Times New Roman" w:hAnsi="Times New Roman" w:cs="Times New Roman"/>
              </w:rPr>
            </w:pPr>
            <w:r>
              <w:rPr>
                <w:rFonts w:ascii="Times New Roman" w:hAnsi="Times New Roman" w:cs="Times New Roman"/>
              </w:rPr>
              <w:t>61.36</w:t>
            </w:r>
          </w:p>
        </w:tc>
        <w:tc>
          <w:tcPr>
            <w:tcW w:w="1584" w:type="dxa"/>
            <w:shd w:val="solid" w:color="FFFFFF" w:fill="auto"/>
            <w:vAlign w:val="center"/>
          </w:tcPr>
          <w:p w14:paraId="020AC573">
            <w:pPr>
              <w:widowControl w:val="0"/>
              <w:jc w:val="right"/>
              <w:rPr>
                <w:rFonts w:ascii="Times New Roman" w:hAnsi="Times New Roman" w:cs="Times New Roman"/>
              </w:rPr>
            </w:pPr>
            <w:r>
              <w:rPr>
                <w:rFonts w:ascii="Times New Roman" w:hAnsi="Times New Roman" w:cs="Times New Roman"/>
              </w:rPr>
              <w:t>2,49</w:t>
            </w:r>
            <w:r>
              <w:rPr>
                <w:rFonts w:hint="eastAsia" w:ascii="Times New Roman" w:hAnsi="Times New Roman" w:cs="Times New Roman"/>
              </w:rPr>
              <w:t>9</w:t>
            </w:r>
          </w:p>
        </w:tc>
      </w:tr>
      <w:tr w14:paraId="2F6D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shd w:val="solid" w:color="FFFFFF" w:fill="auto"/>
            <w:vAlign w:val="center"/>
          </w:tcPr>
          <w:p w14:paraId="6E227D1F">
            <w:pPr>
              <w:shd w:val="solid" w:color="FFFFFF" w:fill="auto"/>
              <w:autoSpaceDN w:val="0"/>
              <w:textAlignment w:val="center"/>
              <w:rPr>
                <w:rFonts w:ascii="Times New Roman" w:hAnsi="Times New Roman" w:cs="Times New Roman"/>
                <w:b/>
                <w:bCs/>
              </w:rPr>
            </w:pPr>
            <w:r>
              <w:rPr>
                <w:rFonts w:ascii="Times New Roman" w:hAnsi="Times New Roman" w:cs="Times New Roman"/>
                <w:b/>
                <w:bCs/>
                <w:lang w:eastAsia="zh-Hans"/>
              </w:rPr>
              <w:t>总计</w:t>
            </w:r>
          </w:p>
        </w:tc>
        <w:tc>
          <w:tcPr>
            <w:tcW w:w="1394" w:type="dxa"/>
            <w:shd w:val="solid" w:color="FFFFFF" w:fill="auto"/>
            <w:vAlign w:val="center"/>
          </w:tcPr>
          <w:p w14:paraId="3C27119D">
            <w:pPr>
              <w:shd w:val="solid" w:color="FFFFFF" w:fill="auto"/>
              <w:autoSpaceDN w:val="0"/>
              <w:textAlignment w:val="center"/>
              <w:rPr>
                <w:rFonts w:ascii="Times New Roman" w:hAnsi="Times New Roman" w:cs="Times New Roman"/>
                <w:b/>
                <w:bCs/>
              </w:rPr>
            </w:pPr>
          </w:p>
        </w:tc>
        <w:tc>
          <w:tcPr>
            <w:tcW w:w="1755" w:type="dxa"/>
            <w:vAlign w:val="center"/>
          </w:tcPr>
          <w:p w14:paraId="41DB778C">
            <w:pPr>
              <w:shd w:val="solid" w:color="FFFFFF" w:fill="auto"/>
              <w:autoSpaceDN w:val="0"/>
              <w:jc w:val="right"/>
              <w:textAlignment w:val="center"/>
              <w:rPr>
                <w:rFonts w:ascii="Times New Roman" w:hAnsi="Times New Roman" w:cs="Times New Roman"/>
                <w:b/>
                <w:bCs/>
                <w:lang w:bidi="ar"/>
              </w:rPr>
            </w:pPr>
            <w:r>
              <w:rPr>
                <w:rFonts w:ascii="Times New Roman" w:hAnsi="Times New Roman" w:cs="Times New Roman"/>
                <w:b/>
                <w:bCs/>
                <w:lang w:bidi="ar"/>
              </w:rPr>
              <w:fldChar w:fldCharType="begin"/>
            </w:r>
            <w:r>
              <w:rPr>
                <w:rFonts w:ascii="Times New Roman" w:hAnsi="Times New Roman" w:cs="Times New Roman"/>
                <w:b/>
                <w:bCs/>
                <w:lang w:bidi="ar"/>
              </w:rPr>
              <w:instrText xml:space="preserve"> =SUM(ABOVE) </w:instrText>
            </w:r>
            <w:r>
              <w:rPr>
                <w:rFonts w:ascii="Times New Roman" w:hAnsi="Times New Roman" w:cs="Times New Roman"/>
                <w:b/>
                <w:bCs/>
                <w:lang w:bidi="ar"/>
              </w:rPr>
              <w:fldChar w:fldCharType="separate"/>
            </w:r>
            <w:r>
              <w:rPr>
                <w:rFonts w:ascii="Times New Roman" w:hAnsi="Times New Roman" w:cs="Times New Roman"/>
                <w:b/>
                <w:bCs/>
                <w:lang w:bidi="ar"/>
              </w:rPr>
              <w:t>1,035,037.83</w:t>
            </w:r>
            <w:r>
              <w:rPr>
                <w:rFonts w:ascii="Times New Roman" w:hAnsi="Times New Roman" w:cs="Times New Roman"/>
                <w:b/>
                <w:bCs/>
                <w:lang w:bidi="ar"/>
              </w:rPr>
              <w:fldChar w:fldCharType="end"/>
            </w:r>
          </w:p>
        </w:tc>
        <w:tc>
          <w:tcPr>
            <w:tcW w:w="1559" w:type="dxa"/>
            <w:shd w:val="solid" w:color="FFFFFF" w:fill="auto"/>
            <w:vAlign w:val="center"/>
          </w:tcPr>
          <w:p w14:paraId="1B860297">
            <w:pPr>
              <w:shd w:val="solid" w:color="FFFFFF" w:fill="auto"/>
              <w:autoSpaceDN w:val="0"/>
              <w:textAlignment w:val="center"/>
              <w:rPr>
                <w:rFonts w:ascii="Times New Roman" w:hAnsi="Times New Roman" w:cs="Times New Roman"/>
                <w:b/>
                <w:bCs/>
                <w:lang w:bidi="ar"/>
              </w:rPr>
            </w:pPr>
          </w:p>
        </w:tc>
        <w:tc>
          <w:tcPr>
            <w:tcW w:w="1758" w:type="dxa"/>
            <w:shd w:val="solid" w:color="FFFFFF" w:fill="auto"/>
            <w:vAlign w:val="center"/>
          </w:tcPr>
          <w:p w14:paraId="7F1E0E54">
            <w:pPr>
              <w:shd w:val="solid" w:color="FFFFFF" w:fill="auto"/>
              <w:autoSpaceDN w:val="0"/>
              <w:textAlignment w:val="center"/>
              <w:rPr>
                <w:rFonts w:ascii="Times New Roman" w:hAnsi="Times New Roman" w:cs="Times New Roman"/>
                <w:b/>
                <w:bCs/>
              </w:rPr>
            </w:pPr>
          </w:p>
        </w:tc>
        <w:tc>
          <w:tcPr>
            <w:tcW w:w="1584" w:type="dxa"/>
            <w:vAlign w:val="center"/>
          </w:tcPr>
          <w:p w14:paraId="3F18A48D">
            <w:pPr>
              <w:jc w:val="right"/>
              <w:textAlignment w:val="center"/>
              <w:rPr>
                <w:rFonts w:ascii="Times New Roman" w:hAnsi="Times New Roman" w:cs="Times New Roman"/>
                <w:b/>
                <w:bCs/>
                <w:color w:val="000000"/>
                <w:sz w:val="22"/>
                <w:szCs w:val="22"/>
              </w:rPr>
            </w:pPr>
            <w:r>
              <w:rPr>
                <w:rFonts w:ascii="Times New Roman" w:hAnsi="Times New Roman" w:cs="Times New Roman"/>
                <w:b/>
                <w:bCs/>
                <w:color w:val="000000"/>
                <w:sz w:val="22"/>
                <w:szCs w:val="22"/>
                <w:lang w:bidi="ar"/>
              </w:rPr>
              <w:fldChar w:fldCharType="begin"/>
            </w:r>
            <w:r>
              <w:rPr>
                <w:rFonts w:ascii="Times New Roman" w:hAnsi="Times New Roman" w:cs="Times New Roman"/>
                <w:b/>
                <w:bCs/>
                <w:color w:val="000000"/>
                <w:sz w:val="22"/>
                <w:szCs w:val="22"/>
                <w:lang w:bidi="ar"/>
              </w:rPr>
              <w:instrText xml:space="preserve"> =SUM(ABOVE) </w:instrText>
            </w:r>
            <w:r>
              <w:rPr>
                <w:rFonts w:ascii="Times New Roman" w:hAnsi="Times New Roman" w:cs="Times New Roman"/>
                <w:b/>
                <w:bCs/>
                <w:color w:val="000000"/>
                <w:sz w:val="22"/>
                <w:szCs w:val="22"/>
                <w:lang w:bidi="ar"/>
              </w:rPr>
              <w:fldChar w:fldCharType="separate"/>
            </w:r>
            <w:r>
              <w:rPr>
                <w:rFonts w:ascii="Times New Roman" w:hAnsi="Times New Roman" w:cs="Times New Roman"/>
                <w:b/>
                <w:bCs/>
                <w:color w:val="000000"/>
                <w:sz w:val="22"/>
                <w:szCs w:val="22"/>
                <w:lang w:bidi="ar"/>
              </w:rPr>
              <w:t>11,545</w:t>
            </w:r>
            <w:r>
              <w:rPr>
                <w:rFonts w:ascii="Times New Roman" w:hAnsi="Times New Roman" w:cs="Times New Roman"/>
                <w:b/>
                <w:bCs/>
                <w:color w:val="000000"/>
                <w:sz w:val="22"/>
                <w:szCs w:val="22"/>
                <w:lang w:bidi="ar"/>
              </w:rPr>
              <w:fldChar w:fldCharType="end"/>
            </w:r>
          </w:p>
        </w:tc>
      </w:tr>
    </w:tbl>
    <w:p w14:paraId="1904EB43">
      <w:pPr>
        <w:numPr>
          <w:ilvl w:val="0"/>
          <w:numId w:val="2"/>
        </w:numPr>
        <w:tabs>
          <w:tab w:val="left" w:pos="0"/>
          <w:tab w:val="left" w:pos="4680"/>
        </w:tabs>
        <w:spacing w:before="157" w:beforeLines="50" w:after="156" w:afterLines="50" w:line="360" w:lineRule="auto"/>
        <w:ind w:left="-482" w:firstLine="482"/>
        <w:rPr>
          <w:rFonts w:hint="eastAsia" w:ascii="Times New Roman" w:hAnsi="Times New Roman" w:cs="Times New Roman"/>
          <w:color w:val="000000"/>
          <w:lang w:eastAsia="zh-Hans"/>
        </w:rPr>
      </w:pPr>
      <w:r>
        <w:rPr>
          <w:rFonts w:hint="eastAsia" w:ascii="Times New Roman" w:hAnsi="Times New Roman" w:cs="Times New Roman"/>
          <w:color w:val="000000"/>
          <w:lang w:eastAsia="zh-Hans"/>
        </w:rPr>
        <w:t>北交所IPO发行公司情况</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394"/>
        <w:gridCol w:w="1721"/>
        <w:gridCol w:w="1575"/>
        <w:gridCol w:w="1788"/>
        <w:gridCol w:w="1572"/>
      </w:tblGrid>
      <w:tr w14:paraId="14B8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238" w:type="dxa"/>
            <w:shd w:val="solid" w:color="C0C0C0" w:fill="auto"/>
            <w:vAlign w:val="center"/>
          </w:tcPr>
          <w:p w14:paraId="6CC23517">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代码</w:t>
            </w:r>
          </w:p>
        </w:tc>
        <w:tc>
          <w:tcPr>
            <w:tcW w:w="1394" w:type="dxa"/>
            <w:shd w:val="solid" w:color="C0C0C0" w:fill="auto"/>
            <w:vAlign w:val="center"/>
          </w:tcPr>
          <w:p w14:paraId="717BA5B1">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股票简称</w:t>
            </w:r>
          </w:p>
        </w:tc>
        <w:tc>
          <w:tcPr>
            <w:tcW w:w="1721" w:type="dxa"/>
            <w:shd w:val="solid" w:color="C0C0C0" w:fill="auto"/>
            <w:vAlign w:val="center"/>
          </w:tcPr>
          <w:p w14:paraId="2F907E8C">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募集资金总额（万元）</w:t>
            </w:r>
          </w:p>
        </w:tc>
        <w:tc>
          <w:tcPr>
            <w:tcW w:w="1575" w:type="dxa"/>
            <w:shd w:val="solid" w:color="C0C0C0" w:fill="auto"/>
            <w:vAlign w:val="center"/>
          </w:tcPr>
          <w:p w14:paraId="55539574">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上市日期</w:t>
            </w:r>
          </w:p>
        </w:tc>
        <w:tc>
          <w:tcPr>
            <w:tcW w:w="1788" w:type="dxa"/>
            <w:shd w:val="solid" w:color="C0C0C0" w:fill="auto"/>
            <w:vAlign w:val="center"/>
          </w:tcPr>
          <w:p w14:paraId="02995FC2">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发行价（元）</w:t>
            </w:r>
          </w:p>
        </w:tc>
        <w:tc>
          <w:tcPr>
            <w:tcW w:w="1572" w:type="dxa"/>
            <w:shd w:val="solid" w:color="C0C0C0" w:fill="auto"/>
            <w:vAlign w:val="center"/>
          </w:tcPr>
          <w:p w14:paraId="50FB3612">
            <w:pPr>
              <w:shd w:val="solid" w:color="C0C0C0" w:fill="auto"/>
              <w:autoSpaceDN w:val="0"/>
              <w:jc w:val="center"/>
              <w:textAlignment w:val="center"/>
              <w:rPr>
                <w:rFonts w:ascii="Times New Roman" w:hAnsi="Times New Roman" w:cs="Times New Roman"/>
                <w:b/>
                <w:shd w:val="clear" w:color="auto" w:fill="C0C0C0"/>
              </w:rPr>
            </w:pPr>
            <w:r>
              <w:rPr>
                <w:rFonts w:ascii="Times New Roman" w:hAnsi="Times New Roman" w:cs="Times New Roman"/>
                <w:b/>
                <w:shd w:val="clear" w:color="auto" w:fill="C0C0C0"/>
              </w:rPr>
              <w:t>发行量</w:t>
            </w:r>
          </w:p>
          <w:p w14:paraId="50562AE7">
            <w:pPr>
              <w:shd w:val="solid" w:color="C0C0C0" w:fill="auto"/>
              <w:autoSpaceDN w:val="0"/>
              <w:jc w:val="center"/>
              <w:textAlignment w:val="center"/>
              <w:rPr>
                <w:rFonts w:ascii="Times New Roman" w:hAnsi="Times New Roman" w:cs="Times New Roman"/>
                <w:b/>
                <w:bCs/>
              </w:rPr>
            </w:pPr>
            <w:r>
              <w:rPr>
                <w:rFonts w:ascii="Times New Roman" w:hAnsi="Times New Roman" w:cs="Times New Roman"/>
                <w:b/>
                <w:shd w:val="clear" w:color="auto" w:fill="C0C0C0"/>
              </w:rPr>
              <w:t>（万股）</w:t>
            </w:r>
          </w:p>
        </w:tc>
      </w:tr>
      <w:tr w14:paraId="510C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1183CD92">
            <w:pPr>
              <w:widowControl w:val="0"/>
              <w:jc w:val="center"/>
              <w:rPr>
                <w:rFonts w:ascii="Times New Roman" w:hAnsi="Times New Roman" w:cs="Times New Roman"/>
              </w:rPr>
            </w:pPr>
            <w:r>
              <w:rPr>
                <w:rFonts w:ascii="Times New Roman" w:hAnsi="Times New Roman" w:cs="Times New Roman"/>
              </w:rPr>
              <w:t>920258</w:t>
            </w:r>
          </w:p>
        </w:tc>
        <w:tc>
          <w:tcPr>
            <w:tcW w:w="1394" w:type="dxa"/>
            <w:vAlign w:val="center"/>
          </w:tcPr>
          <w:p w14:paraId="0872055A">
            <w:pPr>
              <w:widowControl w:val="0"/>
              <w:jc w:val="center"/>
              <w:rPr>
                <w:rFonts w:ascii="Times New Roman" w:hAnsi="Times New Roman" w:cs="Times New Roman"/>
              </w:rPr>
            </w:pPr>
            <w:r>
              <w:rPr>
                <w:rFonts w:ascii="Times New Roman" w:hAnsi="Times New Roman" w:cs="Times New Roman"/>
              </w:rPr>
              <w:t>聚仁新材</w:t>
            </w:r>
          </w:p>
        </w:tc>
        <w:tc>
          <w:tcPr>
            <w:tcW w:w="1721" w:type="dxa"/>
            <w:vAlign w:val="center"/>
          </w:tcPr>
          <w:p w14:paraId="194400B9">
            <w:pPr>
              <w:widowControl w:val="0"/>
              <w:jc w:val="right"/>
              <w:rPr>
                <w:rFonts w:ascii="Times New Roman" w:hAnsi="Times New Roman" w:cs="Times New Roman"/>
              </w:rPr>
            </w:pPr>
            <w:r>
              <w:rPr>
                <w:rFonts w:ascii="Times New Roman" w:hAnsi="Times New Roman" w:cs="Times New Roman"/>
              </w:rPr>
              <w:t>17,9</w:t>
            </w:r>
            <w:r>
              <w:rPr>
                <w:rFonts w:hint="eastAsia" w:ascii="Times New Roman" w:hAnsi="Times New Roman" w:cs="Times New Roman"/>
              </w:rPr>
              <w:t>20.00</w:t>
            </w:r>
          </w:p>
        </w:tc>
        <w:tc>
          <w:tcPr>
            <w:tcW w:w="1575" w:type="dxa"/>
            <w:vAlign w:val="center"/>
          </w:tcPr>
          <w:p w14:paraId="60DC876E">
            <w:pPr>
              <w:widowControl w:val="0"/>
              <w:jc w:val="center"/>
              <w:rPr>
                <w:rFonts w:ascii="Times New Roman" w:hAnsi="Times New Roman" w:cs="Times New Roman"/>
              </w:rPr>
            </w:pPr>
            <w:r>
              <w:rPr>
                <w:rFonts w:ascii="Times New Roman" w:hAnsi="Times New Roman" w:cs="Times New Roman"/>
              </w:rPr>
              <w:t>2026-08-03</w:t>
            </w:r>
          </w:p>
        </w:tc>
        <w:tc>
          <w:tcPr>
            <w:tcW w:w="1788" w:type="dxa"/>
            <w:vAlign w:val="center"/>
          </w:tcPr>
          <w:p w14:paraId="07447915">
            <w:pPr>
              <w:widowControl w:val="0"/>
              <w:jc w:val="right"/>
              <w:rPr>
                <w:rFonts w:ascii="Times New Roman" w:hAnsi="Times New Roman" w:cs="Times New Roman"/>
              </w:rPr>
            </w:pPr>
            <w:r>
              <w:rPr>
                <w:rFonts w:ascii="Times New Roman" w:hAnsi="Times New Roman" w:cs="Times New Roman"/>
              </w:rPr>
              <w:t>4.48</w:t>
            </w:r>
          </w:p>
        </w:tc>
        <w:tc>
          <w:tcPr>
            <w:tcW w:w="1572" w:type="dxa"/>
            <w:vAlign w:val="center"/>
          </w:tcPr>
          <w:p w14:paraId="68E5C03E">
            <w:pPr>
              <w:widowControl w:val="0"/>
              <w:jc w:val="right"/>
              <w:rPr>
                <w:rFonts w:ascii="Times New Roman" w:hAnsi="Times New Roman" w:cs="Times New Roman"/>
              </w:rPr>
            </w:pPr>
            <w:r>
              <w:rPr>
                <w:rFonts w:ascii="Times New Roman" w:hAnsi="Times New Roman" w:cs="Times New Roman"/>
              </w:rPr>
              <w:t>4,000</w:t>
            </w:r>
          </w:p>
        </w:tc>
      </w:tr>
      <w:tr w14:paraId="2459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77AFC94C">
            <w:pPr>
              <w:widowControl w:val="0"/>
              <w:jc w:val="center"/>
              <w:rPr>
                <w:rFonts w:ascii="Times New Roman" w:hAnsi="Times New Roman" w:cs="Times New Roman"/>
              </w:rPr>
            </w:pPr>
            <w:r>
              <w:rPr>
                <w:rFonts w:ascii="Times New Roman" w:hAnsi="Times New Roman" w:cs="Times New Roman"/>
              </w:rPr>
              <w:t>920038</w:t>
            </w:r>
          </w:p>
        </w:tc>
        <w:tc>
          <w:tcPr>
            <w:tcW w:w="1394" w:type="dxa"/>
            <w:vAlign w:val="center"/>
          </w:tcPr>
          <w:p w14:paraId="2DCA649E">
            <w:pPr>
              <w:widowControl w:val="0"/>
              <w:jc w:val="center"/>
              <w:rPr>
                <w:rFonts w:ascii="Times New Roman" w:hAnsi="Times New Roman" w:cs="Times New Roman"/>
              </w:rPr>
            </w:pPr>
            <w:r>
              <w:rPr>
                <w:rFonts w:ascii="Times New Roman" w:hAnsi="Times New Roman" w:cs="Times New Roman"/>
              </w:rPr>
              <w:t>森合高科</w:t>
            </w:r>
          </w:p>
        </w:tc>
        <w:tc>
          <w:tcPr>
            <w:tcW w:w="1721" w:type="dxa"/>
            <w:vAlign w:val="center"/>
          </w:tcPr>
          <w:p w14:paraId="4882CC8D">
            <w:pPr>
              <w:widowControl w:val="0"/>
              <w:jc w:val="right"/>
              <w:rPr>
                <w:rFonts w:hint="eastAsia" w:ascii="Times New Roman" w:hAnsi="Times New Roman" w:cs="Times New Roman"/>
              </w:rPr>
            </w:pPr>
            <w:r>
              <w:rPr>
                <w:rFonts w:hint="eastAsia" w:ascii="Times New Roman" w:hAnsi="Times New Roman" w:cs="Times New Roman"/>
              </w:rPr>
              <w:t>55,533.66</w:t>
            </w:r>
          </w:p>
        </w:tc>
        <w:tc>
          <w:tcPr>
            <w:tcW w:w="1575" w:type="dxa"/>
            <w:vAlign w:val="center"/>
          </w:tcPr>
          <w:p w14:paraId="5CEE1E2E">
            <w:pPr>
              <w:widowControl w:val="0"/>
              <w:jc w:val="center"/>
              <w:rPr>
                <w:rFonts w:ascii="Times New Roman" w:hAnsi="Times New Roman" w:cs="Times New Roman"/>
              </w:rPr>
            </w:pPr>
            <w:r>
              <w:rPr>
                <w:rFonts w:ascii="Times New Roman" w:hAnsi="Times New Roman" w:cs="Times New Roman"/>
              </w:rPr>
              <w:t>2026-08-05</w:t>
            </w:r>
          </w:p>
        </w:tc>
        <w:tc>
          <w:tcPr>
            <w:tcW w:w="1788" w:type="dxa"/>
            <w:vAlign w:val="center"/>
          </w:tcPr>
          <w:p w14:paraId="3608A633">
            <w:pPr>
              <w:widowControl w:val="0"/>
              <w:jc w:val="right"/>
              <w:rPr>
                <w:rFonts w:ascii="Times New Roman" w:hAnsi="Times New Roman" w:cs="Times New Roman"/>
              </w:rPr>
            </w:pPr>
            <w:r>
              <w:rPr>
                <w:rFonts w:ascii="Times New Roman" w:hAnsi="Times New Roman" w:cs="Times New Roman"/>
              </w:rPr>
              <w:t>29.06</w:t>
            </w:r>
          </w:p>
        </w:tc>
        <w:tc>
          <w:tcPr>
            <w:tcW w:w="1572" w:type="dxa"/>
            <w:vAlign w:val="center"/>
          </w:tcPr>
          <w:p w14:paraId="04DCC40E">
            <w:pPr>
              <w:widowControl w:val="0"/>
              <w:jc w:val="right"/>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,911</w:t>
            </w:r>
          </w:p>
        </w:tc>
      </w:tr>
      <w:tr w14:paraId="27BC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29AC7ED1">
            <w:pPr>
              <w:widowControl w:val="0"/>
              <w:jc w:val="center"/>
              <w:rPr>
                <w:rFonts w:ascii="Times New Roman" w:hAnsi="Times New Roman" w:cs="Times New Roman"/>
              </w:rPr>
            </w:pPr>
            <w:r>
              <w:rPr>
                <w:rFonts w:ascii="Times New Roman" w:hAnsi="Times New Roman" w:cs="Times New Roman"/>
              </w:rPr>
              <w:t>920165</w:t>
            </w:r>
          </w:p>
        </w:tc>
        <w:tc>
          <w:tcPr>
            <w:tcW w:w="1394" w:type="dxa"/>
            <w:vAlign w:val="center"/>
          </w:tcPr>
          <w:p w14:paraId="5989E2EE">
            <w:pPr>
              <w:widowControl w:val="0"/>
              <w:jc w:val="center"/>
              <w:rPr>
                <w:rFonts w:ascii="Times New Roman" w:hAnsi="Times New Roman" w:cs="Times New Roman"/>
                <w:lang w:eastAsia="zh-Hans"/>
              </w:rPr>
            </w:pPr>
            <w:r>
              <w:rPr>
                <w:rFonts w:ascii="Times New Roman" w:hAnsi="Times New Roman" w:cs="Times New Roman"/>
              </w:rPr>
              <w:t>珈凯生物</w:t>
            </w:r>
          </w:p>
        </w:tc>
        <w:tc>
          <w:tcPr>
            <w:tcW w:w="1721" w:type="dxa"/>
            <w:vAlign w:val="center"/>
          </w:tcPr>
          <w:p w14:paraId="19D3977C">
            <w:pPr>
              <w:widowControl w:val="0"/>
              <w:jc w:val="right"/>
              <w:rPr>
                <w:rFonts w:hint="eastAsia" w:ascii="Times New Roman" w:hAnsi="Times New Roman" w:cs="Times New Roman"/>
              </w:rPr>
            </w:pPr>
            <w:r>
              <w:rPr>
                <w:rFonts w:hint="eastAsia" w:ascii="Times New Roman" w:hAnsi="Times New Roman" w:cs="Times New Roman"/>
              </w:rPr>
              <w:t>13,944.24</w:t>
            </w:r>
          </w:p>
        </w:tc>
        <w:tc>
          <w:tcPr>
            <w:tcW w:w="1575" w:type="dxa"/>
            <w:vAlign w:val="center"/>
          </w:tcPr>
          <w:p w14:paraId="65672D69">
            <w:pPr>
              <w:widowControl w:val="0"/>
              <w:jc w:val="center"/>
              <w:rPr>
                <w:rFonts w:ascii="Times New Roman" w:hAnsi="Times New Roman" w:cs="Times New Roman"/>
              </w:rPr>
            </w:pPr>
            <w:r>
              <w:rPr>
                <w:rFonts w:ascii="Times New Roman" w:hAnsi="Times New Roman" w:cs="Times New Roman"/>
              </w:rPr>
              <w:t>2026-08-11</w:t>
            </w:r>
          </w:p>
        </w:tc>
        <w:tc>
          <w:tcPr>
            <w:tcW w:w="1788" w:type="dxa"/>
            <w:vAlign w:val="center"/>
          </w:tcPr>
          <w:p w14:paraId="42460C48">
            <w:pPr>
              <w:widowControl w:val="0"/>
              <w:jc w:val="right"/>
              <w:rPr>
                <w:rFonts w:ascii="Times New Roman" w:hAnsi="Times New Roman" w:cs="Times New Roman"/>
              </w:rPr>
            </w:pPr>
            <w:r>
              <w:rPr>
                <w:rFonts w:ascii="Times New Roman" w:hAnsi="Times New Roman" w:cs="Times New Roman"/>
              </w:rPr>
              <w:t>19.26</w:t>
            </w:r>
          </w:p>
        </w:tc>
        <w:tc>
          <w:tcPr>
            <w:tcW w:w="1572" w:type="dxa"/>
            <w:vAlign w:val="center"/>
          </w:tcPr>
          <w:p w14:paraId="1451F8A8">
            <w:pPr>
              <w:widowControl w:val="0"/>
              <w:jc w:val="right"/>
              <w:rPr>
                <w:rFonts w:ascii="Times New Roman" w:hAnsi="Times New Roman" w:cs="Times New Roman"/>
              </w:rPr>
            </w:pPr>
            <w:r>
              <w:rPr>
                <w:rFonts w:ascii="Times New Roman" w:hAnsi="Times New Roman" w:cs="Times New Roman"/>
              </w:rPr>
              <w:t>724</w:t>
            </w:r>
          </w:p>
        </w:tc>
      </w:tr>
      <w:tr w14:paraId="75FF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178245CE">
            <w:pPr>
              <w:widowControl w:val="0"/>
              <w:jc w:val="center"/>
              <w:rPr>
                <w:rFonts w:ascii="Times New Roman" w:hAnsi="Times New Roman" w:cs="Times New Roman"/>
              </w:rPr>
            </w:pPr>
            <w:r>
              <w:rPr>
                <w:rFonts w:ascii="Times New Roman" w:hAnsi="Times New Roman" w:cs="Times New Roman"/>
              </w:rPr>
              <w:t>920138</w:t>
            </w:r>
          </w:p>
        </w:tc>
        <w:tc>
          <w:tcPr>
            <w:tcW w:w="1394" w:type="dxa"/>
            <w:vAlign w:val="center"/>
          </w:tcPr>
          <w:p w14:paraId="7BBCBFB5">
            <w:pPr>
              <w:widowControl w:val="0"/>
              <w:jc w:val="center"/>
              <w:rPr>
                <w:rFonts w:ascii="Times New Roman" w:hAnsi="Times New Roman" w:cs="Times New Roman"/>
                <w:lang w:eastAsia="zh-Hans"/>
              </w:rPr>
            </w:pPr>
            <w:r>
              <w:rPr>
                <w:rFonts w:ascii="Times New Roman" w:hAnsi="Times New Roman" w:cs="Times New Roman"/>
              </w:rPr>
              <w:t>杰理科技</w:t>
            </w:r>
          </w:p>
        </w:tc>
        <w:tc>
          <w:tcPr>
            <w:tcW w:w="1721" w:type="dxa"/>
            <w:vAlign w:val="center"/>
          </w:tcPr>
          <w:p w14:paraId="131374B9">
            <w:pPr>
              <w:widowControl w:val="0"/>
              <w:jc w:val="right"/>
              <w:rPr>
                <w:rFonts w:ascii="Times New Roman" w:hAnsi="Times New Roman" w:cs="Times New Roman"/>
              </w:rPr>
            </w:pPr>
            <w:r>
              <w:rPr>
                <w:rFonts w:hint="eastAsia" w:ascii="Times New Roman" w:hAnsi="Times New Roman" w:cs="Times New Roman"/>
              </w:rPr>
              <w:t>62,238.00</w:t>
            </w:r>
          </w:p>
        </w:tc>
        <w:tc>
          <w:tcPr>
            <w:tcW w:w="1575" w:type="dxa"/>
            <w:vAlign w:val="center"/>
          </w:tcPr>
          <w:p w14:paraId="6C719B52">
            <w:pPr>
              <w:widowControl w:val="0"/>
              <w:jc w:val="center"/>
              <w:rPr>
                <w:rFonts w:ascii="Times New Roman" w:hAnsi="Times New Roman" w:cs="Times New Roman"/>
              </w:rPr>
            </w:pPr>
            <w:r>
              <w:rPr>
                <w:rFonts w:ascii="Times New Roman" w:hAnsi="Times New Roman" w:cs="Times New Roman"/>
              </w:rPr>
              <w:t>2026-08-12</w:t>
            </w:r>
          </w:p>
        </w:tc>
        <w:tc>
          <w:tcPr>
            <w:tcW w:w="1788" w:type="dxa"/>
            <w:vAlign w:val="center"/>
          </w:tcPr>
          <w:p w14:paraId="5D6088E1">
            <w:pPr>
              <w:widowControl w:val="0"/>
              <w:jc w:val="right"/>
              <w:rPr>
                <w:rFonts w:ascii="Times New Roman" w:hAnsi="Times New Roman" w:cs="Times New Roman"/>
              </w:rPr>
            </w:pPr>
            <w:r>
              <w:rPr>
                <w:rFonts w:ascii="Times New Roman" w:hAnsi="Times New Roman" w:cs="Times New Roman"/>
              </w:rPr>
              <w:t>18.86</w:t>
            </w:r>
          </w:p>
        </w:tc>
        <w:tc>
          <w:tcPr>
            <w:tcW w:w="1572" w:type="dxa"/>
            <w:vAlign w:val="center"/>
          </w:tcPr>
          <w:p w14:paraId="5B7015C0">
            <w:pPr>
              <w:widowControl w:val="0"/>
              <w:jc w:val="right"/>
              <w:rPr>
                <w:rFonts w:ascii="Times New Roman" w:hAnsi="Times New Roman" w:cs="Times New Roman"/>
              </w:rPr>
            </w:pPr>
            <w:r>
              <w:rPr>
                <w:rFonts w:hint="eastAsia" w:ascii="Times New Roman" w:hAnsi="Times New Roman" w:cs="Times New Roman"/>
              </w:rPr>
              <w:t>3,300</w:t>
            </w:r>
          </w:p>
        </w:tc>
      </w:tr>
      <w:tr w14:paraId="199D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5CD94CF7">
            <w:pPr>
              <w:widowControl w:val="0"/>
              <w:jc w:val="center"/>
              <w:rPr>
                <w:rFonts w:ascii="Times New Roman" w:hAnsi="Times New Roman" w:cs="Times New Roman"/>
              </w:rPr>
            </w:pPr>
            <w:r>
              <w:rPr>
                <w:rFonts w:ascii="Times New Roman" w:hAnsi="Times New Roman" w:cs="Times New Roman"/>
              </w:rPr>
              <w:t>920107</w:t>
            </w:r>
          </w:p>
        </w:tc>
        <w:tc>
          <w:tcPr>
            <w:tcW w:w="1394" w:type="dxa"/>
            <w:vAlign w:val="center"/>
          </w:tcPr>
          <w:p w14:paraId="176A87CF">
            <w:pPr>
              <w:widowControl w:val="0"/>
              <w:jc w:val="center"/>
              <w:rPr>
                <w:rFonts w:ascii="Times New Roman" w:hAnsi="Times New Roman" w:cs="Times New Roman"/>
                <w:lang w:eastAsia="zh-Hans"/>
              </w:rPr>
            </w:pPr>
            <w:r>
              <w:rPr>
                <w:rFonts w:ascii="Times New Roman" w:hAnsi="Times New Roman" w:cs="Times New Roman"/>
              </w:rPr>
              <w:t>恒兴股份</w:t>
            </w:r>
          </w:p>
        </w:tc>
        <w:tc>
          <w:tcPr>
            <w:tcW w:w="1721" w:type="dxa"/>
            <w:vAlign w:val="center"/>
          </w:tcPr>
          <w:p w14:paraId="6CE8CF23">
            <w:pPr>
              <w:widowControl w:val="0"/>
              <w:jc w:val="right"/>
              <w:rPr>
                <w:rFonts w:hint="eastAsia" w:ascii="Times New Roman" w:hAnsi="Times New Roman" w:cs="Times New Roman"/>
              </w:rPr>
            </w:pPr>
            <w:r>
              <w:rPr>
                <w:rFonts w:hint="eastAsia" w:ascii="Times New Roman" w:hAnsi="Times New Roman" w:cs="Times New Roman"/>
              </w:rPr>
              <w:t>33,593.94</w:t>
            </w:r>
          </w:p>
        </w:tc>
        <w:tc>
          <w:tcPr>
            <w:tcW w:w="1575" w:type="dxa"/>
            <w:vAlign w:val="center"/>
          </w:tcPr>
          <w:p w14:paraId="3A5F61BC">
            <w:pPr>
              <w:widowControl w:val="0"/>
              <w:jc w:val="center"/>
              <w:rPr>
                <w:rFonts w:ascii="Times New Roman" w:hAnsi="Times New Roman" w:cs="Times New Roman"/>
              </w:rPr>
            </w:pPr>
            <w:r>
              <w:rPr>
                <w:rFonts w:ascii="Times New Roman" w:hAnsi="Times New Roman" w:cs="Times New Roman"/>
              </w:rPr>
              <w:t>2026-08-17</w:t>
            </w:r>
          </w:p>
        </w:tc>
        <w:tc>
          <w:tcPr>
            <w:tcW w:w="1788" w:type="dxa"/>
            <w:vAlign w:val="center"/>
          </w:tcPr>
          <w:p w14:paraId="7835320D">
            <w:pPr>
              <w:widowControl w:val="0"/>
              <w:jc w:val="right"/>
              <w:rPr>
                <w:rFonts w:ascii="Times New Roman" w:hAnsi="Times New Roman" w:cs="Times New Roman"/>
              </w:rPr>
            </w:pPr>
            <w:r>
              <w:rPr>
                <w:rFonts w:ascii="Times New Roman" w:hAnsi="Times New Roman" w:cs="Times New Roman"/>
              </w:rPr>
              <w:t>16.02</w:t>
            </w:r>
          </w:p>
        </w:tc>
        <w:tc>
          <w:tcPr>
            <w:tcW w:w="1572" w:type="dxa"/>
            <w:vAlign w:val="center"/>
          </w:tcPr>
          <w:p w14:paraId="2BCE04E0">
            <w:pPr>
              <w:widowControl w:val="0"/>
              <w:jc w:val="right"/>
              <w:rPr>
                <w:rFonts w:ascii="Times New Roman" w:hAnsi="Times New Roman" w:cs="Times New Roman"/>
              </w:rPr>
            </w:pPr>
            <w:r>
              <w:rPr>
                <w:rFonts w:ascii="Times New Roman" w:hAnsi="Times New Roman" w:cs="Times New Roman"/>
              </w:rPr>
              <w:t>2,097</w:t>
            </w:r>
          </w:p>
        </w:tc>
      </w:tr>
      <w:tr w14:paraId="17FB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558C750D">
            <w:pPr>
              <w:widowControl w:val="0"/>
              <w:jc w:val="center"/>
              <w:rPr>
                <w:rFonts w:ascii="Times New Roman" w:hAnsi="Times New Roman" w:cs="Times New Roman"/>
              </w:rPr>
            </w:pPr>
            <w:r>
              <w:rPr>
                <w:rFonts w:ascii="Times New Roman" w:hAnsi="Times New Roman" w:cs="Times New Roman"/>
              </w:rPr>
              <w:t>920059</w:t>
            </w:r>
          </w:p>
        </w:tc>
        <w:tc>
          <w:tcPr>
            <w:tcW w:w="1394" w:type="dxa"/>
            <w:vAlign w:val="center"/>
          </w:tcPr>
          <w:p w14:paraId="08736325">
            <w:pPr>
              <w:widowControl w:val="0"/>
              <w:jc w:val="center"/>
              <w:rPr>
                <w:rFonts w:ascii="Times New Roman" w:hAnsi="Times New Roman" w:cs="Times New Roman"/>
                <w:lang w:eastAsia="zh-Hans"/>
              </w:rPr>
            </w:pPr>
            <w:r>
              <w:rPr>
                <w:rFonts w:ascii="Times New Roman" w:hAnsi="Times New Roman" w:cs="Times New Roman"/>
              </w:rPr>
              <w:t>双英集团</w:t>
            </w:r>
          </w:p>
        </w:tc>
        <w:tc>
          <w:tcPr>
            <w:tcW w:w="1721" w:type="dxa"/>
            <w:vAlign w:val="center"/>
          </w:tcPr>
          <w:p w14:paraId="4DAF39BD">
            <w:pPr>
              <w:widowControl w:val="0"/>
              <w:jc w:val="right"/>
              <w:rPr>
                <w:rFonts w:hint="eastAsia" w:ascii="Times New Roman" w:hAnsi="Times New Roman" w:cs="Times New Roman"/>
              </w:rPr>
            </w:pPr>
            <w:r>
              <w:rPr>
                <w:rFonts w:hint="eastAsia" w:ascii="Times New Roman" w:hAnsi="Times New Roman" w:cs="Times New Roman"/>
              </w:rPr>
              <w:t>42,316.26</w:t>
            </w:r>
          </w:p>
        </w:tc>
        <w:tc>
          <w:tcPr>
            <w:tcW w:w="1575" w:type="dxa"/>
            <w:vAlign w:val="center"/>
          </w:tcPr>
          <w:p w14:paraId="5646E372">
            <w:pPr>
              <w:widowControl w:val="0"/>
              <w:jc w:val="center"/>
              <w:rPr>
                <w:rFonts w:ascii="Times New Roman" w:hAnsi="Times New Roman" w:cs="Times New Roman"/>
              </w:rPr>
            </w:pPr>
            <w:r>
              <w:rPr>
                <w:rFonts w:ascii="Times New Roman" w:hAnsi="Times New Roman" w:cs="Times New Roman"/>
              </w:rPr>
              <w:t>2026-08-19</w:t>
            </w:r>
          </w:p>
        </w:tc>
        <w:tc>
          <w:tcPr>
            <w:tcW w:w="1788" w:type="dxa"/>
            <w:vAlign w:val="center"/>
          </w:tcPr>
          <w:p w14:paraId="789079CE">
            <w:pPr>
              <w:widowControl w:val="0"/>
              <w:jc w:val="right"/>
              <w:rPr>
                <w:rFonts w:ascii="Times New Roman" w:hAnsi="Times New Roman" w:cs="Times New Roman"/>
              </w:rPr>
            </w:pPr>
            <w:r>
              <w:rPr>
                <w:rFonts w:ascii="Times New Roman" w:hAnsi="Times New Roman" w:cs="Times New Roman"/>
              </w:rPr>
              <w:t>11.13</w:t>
            </w:r>
          </w:p>
        </w:tc>
        <w:tc>
          <w:tcPr>
            <w:tcW w:w="1572" w:type="dxa"/>
            <w:vAlign w:val="center"/>
          </w:tcPr>
          <w:p w14:paraId="599DDB88">
            <w:pPr>
              <w:widowControl w:val="0"/>
              <w:jc w:val="right"/>
              <w:rPr>
                <w:rFonts w:hint="eastAsia" w:ascii="Times New Roman" w:hAnsi="Times New Roman" w:cs="Times New Roman"/>
              </w:rPr>
            </w:pPr>
            <w:r>
              <w:rPr>
                <w:rFonts w:ascii="Times New Roman" w:hAnsi="Times New Roman" w:cs="Times New Roman"/>
              </w:rPr>
              <w:t>3,802</w:t>
            </w:r>
          </w:p>
        </w:tc>
      </w:tr>
      <w:tr w14:paraId="3208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3145A7AA">
            <w:pPr>
              <w:widowControl w:val="0"/>
              <w:jc w:val="center"/>
              <w:rPr>
                <w:rFonts w:ascii="Times New Roman" w:hAnsi="Times New Roman" w:cs="Times New Roman"/>
              </w:rPr>
            </w:pPr>
            <w:r>
              <w:rPr>
                <w:rFonts w:ascii="Times New Roman" w:hAnsi="Times New Roman" w:cs="Times New Roman"/>
              </w:rPr>
              <w:t>920093</w:t>
            </w:r>
          </w:p>
        </w:tc>
        <w:tc>
          <w:tcPr>
            <w:tcW w:w="1394" w:type="dxa"/>
            <w:vAlign w:val="center"/>
          </w:tcPr>
          <w:p w14:paraId="583DEDF6">
            <w:pPr>
              <w:widowControl w:val="0"/>
              <w:jc w:val="center"/>
              <w:rPr>
                <w:rFonts w:ascii="Times New Roman" w:hAnsi="Times New Roman" w:cs="Times New Roman"/>
                <w:lang w:eastAsia="zh-Hans"/>
              </w:rPr>
            </w:pPr>
            <w:r>
              <w:rPr>
                <w:rFonts w:ascii="Times New Roman" w:hAnsi="Times New Roman" w:cs="Times New Roman"/>
              </w:rPr>
              <w:t>信胜科技</w:t>
            </w:r>
          </w:p>
        </w:tc>
        <w:tc>
          <w:tcPr>
            <w:tcW w:w="1721" w:type="dxa"/>
            <w:vAlign w:val="center"/>
          </w:tcPr>
          <w:p w14:paraId="5ADEE1F7">
            <w:pPr>
              <w:widowControl w:val="0"/>
              <w:jc w:val="right"/>
              <w:rPr>
                <w:rFonts w:ascii="Times New Roman" w:hAnsi="Times New Roman" w:cs="Times New Roman"/>
              </w:rPr>
            </w:pPr>
            <w:r>
              <w:rPr>
                <w:rFonts w:hint="eastAsia" w:ascii="Times New Roman" w:hAnsi="Times New Roman" w:cs="Times New Roman"/>
              </w:rPr>
              <w:t>51,660.00</w:t>
            </w:r>
          </w:p>
        </w:tc>
        <w:tc>
          <w:tcPr>
            <w:tcW w:w="1575" w:type="dxa"/>
            <w:vAlign w:val="center"/>
          </w:tcPr>
          <w:p w14:paraId="338F9447">
            <w:pPr>
              <w:widowControl w:val="0"/>
              <w:jc w:val="center"/>
              <w:rPr>
                <w:rFonts w:ascii="Times New Roman" w:hAnsi="Times New Roman" w:cs="Times New Roman"/>
              </w:rPr>
            </w:pPr>
            <w:r>
              <w:rPr>
                <w:rFonts w:ascii="Times New Roman" w:hAnsi="Times New Roman" w:cs="Times New Roman"/>
              </w:rPr>
              <w:t>2026-08-21</w:t>
            </w:r>
          </w:p>
        </w:tc>
        <w:tc>
          <w:tcPr>
            <w:tcW w:w="1788" w:type="dxa"/>
            <w:vAlign w:val="center"/>
          </w:tcPr>
          <w:p w14:paraId="26382F94">
            <w:pPr>
              <w:widowControl w:val="0"/>
              <w:jc w:val="right"/>
              <w:rPr>
                <w:rFonts w:ascii="Times New Roman" w:hAnsi="Times New Roman" w:cs="Times New Roman"/>
              </w:rPr>
            </w:pPr>
            <w:r>
              <w:rPr>
                <w:rFonts w:ascii="Times New Roman" w:hAnsi="Times New Roman" w:cs="Times New Roman"/>
              </w:rPr>
              <w:t>14.35</w:t>
            </w:r>
          </w:p>
        </w:tc>
        <w:tc>
          <w:tcPr>
            <w:tcW w:w="1572" w:type="dxa"/>
            <w:vAlign w:val="center"/>
          </w:tcPr>
          <w:p w14:paraId="5485F4B1">
            <w:pPr>
              <w:widowControl w:val="0"/>
              <w:jc w:val="right"/>
              <w:rPr>
                <w:rFonts w:ascii="Times New Roman" w:hAnsi="Times New Roman" w:cs="Times New Roman"/>
              </w:rPr>
            </w:pPr>
            <w:r>
              <w:rPr>
                <w:rFonts w:hint="eastAsia" w:ascii="Times New Roman" w:hAnsi="Times New Roman" w:cs="Times New Roman"/>
              </w:rPr>
              <w:t>3,600</w:t>
            </w:r>
          </w:p>
        </w:tc>
      </w:tr>
      <w:tr w14:paraId="1D65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vAlign w:val="center"/>
          </w:tcPr>
          <w:p w14:paraId="1E3B92E6">
            <w:pPr>
              <w:widowControl w:val="0"/>
              <w:jc w:val="center"/>
              <w:rPr>
                <w:rFonts w:ascii="Times New Roman" w:hAnsi="Times New Roman" w:cs="Times New Roman"/>
              </w:rPr>
            </w:pPr>
            <w:r>
              <w:rPr>
                <w:rFonts w:ascii="Times New Roman" w:hAnsi="Times New Roman" w:cs="Times New Roman"/>
              </w:rPr>
              <w:t>920288</w:t>
            </w:r>
          </w:p>
        </w:tc>
        <w:tc>
          <w:tcPr>
            <w:tcW w:w="1394" w:type="dxa"/>
            <w:vAlign w:val="center"/>
          </w:tcPr>
          <w:p w14:paraId="6E7F5206">
            <w:pPr>
              <w:widowControl w:val="0"/>
              <w:jc w:val="center"/>
              <w:rPr>
                <w:rFonts w:ascii="Times New Roman" w:hAnsi="Times New Roman" w:cs="Times New Roman"/>
                <w:lang w:eastAsia="zh-Hans"/>
              </w:rPr>
            </w:pPr>
            <w:r>
              <w:rPr>
                <w:rFonts w:ascii="Times New Roman" w:hAnsi="Times New Roman" w:cs="Times New Roman"/>
              </w:rPr>
              <w:t>华大海天</w:t>
            </w:r>
          </w:p>
        </w:tc>
        <w:tc>
          <w:tcPr>
            <w:tcW w:w="1721" w:type="dxa"/>
            <w:vAlign w:val="center"/>
          </w:tcPr>
          <w:p w14:paraId="257AB388">
            <w:pPr>
              <w:widowControl w:val="0"/>
              <w:jc w:val="right"/>
              <w:rPr>
                <w:rFonts w:hint="eastAsia" w:ascii="Times New Roman" w:hAnsi="Times New Roman" w:cs="Times New Roman"/>
              </w:rPr>
            </w:pPr>
            <w:r>
              <w:rPr>
                <w:rFonts w:hint="eastAsia" w:ascii="Times New Roman" w:hAnsi="Times New Roman" w:cs="Times New Roman"/>
              </w:rPr>
              <w:t>22,475.16</w:t>
            </w:r>
          </w:p>
        </w:tc>
        <w:tc>
          <w:tcPr>
            <w:tcW w:w="1575" w:type="dxa"/>
            <w:vAlign w:val="center"/>
          </w:tcPr>
          <w:p w14:paraId="6F462BEA">
            <w:pPr>
              <w:widowControl w:val="0"/>
              <w:jc w:val="center"/>
              <w:rPr>
                <w:rFonts w:ascii="Times New Roman" w:hAnsi="Times New Roman" w:cs="Times New Roman"/>
              </w:rPr>
            </w:pPr>
            <w:r>
              <w:rPr>
                <w:rFonts w:ascii="Times New Roman" w:hAnsi="Times New Roman" w:cs="Times New Roman"/>
              </w:rPr>
              <w:t>2026-08-28</w:t>
            </w:r>
          </w:p>
        </w:tc>
        <w:tc>
          <w:tcPr>
            <w:tcW w:w="1788" w:type="dxa"/>
            <w:vAlign w:val="center"/>
          </w:tcPr>
          <w:p w14:paraId="720FA318">
            <w:pPr>
              <w:widowControl w:val="0"/>
              <w:jc w:val="right"/>
              <w:rPr>
                <w:rFonts w:ascii="Times New Roman" w:hAnsi="Times New Roman" w:cs="Times New Roman"/>
              </w:rPr>
            </w:pPr>
            <w:r>
              <w:rPr>
                <w:rFonts w:ascii="Times New Roman" w:hAnsi="Times New Roman" w:cs="Times New Roman"/>
              </w:rPr>
              <w:t>12.57</w:t>
            </w:r>
          </w:p>
        </w:tc>
        <w:tc>
          <w:tcPr>
            <w:tcW w:w="1572" w:type="dxa"/>
            <w:vAlign w:val="center"/>
          </w:tcPr>
          <w:p w14:paraId="5CF0CFEB">
            <w:pPr>
              <w:widowControl w:val="0"/>
              <w:jc w:val="right"/>
              <w:rPr>
                <w:rFonts w:ascii="Times New Roman" w:hAnsi="Times New Roman" w:cs="Times New Roman"/>
              </w:rPr>
            </w:pPr>
            <w:r>
              <w:rPr>
                <w:rFonts w:ascii="Times New Roman" w:hAnsi="Times New Roman" w:cs="Times New Roman"/>
              </w:rPr>
              <w:t>1,788</w:t>
            </w:r>
          </w:p>
        </w:tc>
      </w:tr>
      <w:tr w14:paraId="274E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38" w:type="dxa"/>
            <w:shd w:val="clear" w:color="C0C0C0" w:fill="auto"/>
            <w:vAlign w:val="center"/>
          </w:tcPr>
          <w:p w14:paraId="557FE90A">
            <w:pPr>
              <w:shd w:val="solid" w:color="FFFFFF" w:fill="auto"/>
              <w:autoSpaceDN w:val="0"/>
              <w:jc w:val="center"/>
              <w:textAlignment w:val="center"/>
              <w:rPr>
                <w:rFonts w:ascii="Times New Roman" w:hAnsi="Times New Roman" w:cs="Times New Roman"/>
                <w:b/>
                <w:bCs/>
                <w:lang w:eastAsia="zh-Hans"/>
              </w:rPr>
            </w:pPr>
            <w:r>
              <w:rPr>
                <w:rFonts w:ascii="Times New Roman" w:hAnsi="Times New Roman" w:cs="Times New Roman"/>
                <w:b/>
                <w:bCs/>
                <w:lang w:eastAsia="zh-Hans"/>
              </w:rPr>
              <w:t>总计</w:t>
            </w:r>
          </w:p>
        </w:tc>
        <w:tc>
          <w:tcPr>
            <w:tcW w:w="1394" w:type="dxa"/>
            <w:shd w:val="clear" w:color="C0C0C0" w:fill="auto"/>
            <w:vAlign w:val="center"/>
          </w:tcPr>
          <w:p w14:paraId="271C151A">
            <w:pPr>
              <w:shd w:val="solid" w:color="FFFFFF" w:fill="auto"/>
              <w:autoSpaceDN w:val="0"/>
              <w:jc w:val="center"/>
              <w:textAlignment w:val="center"/>
              <w:rPr>
                <w:rFonts w:ascii="Times New Roman" w:hAnsi="Times New Roman" w:cs="Times New Roman"/>
                <w:b/>
                <w:bCs/>
                <w:lang w:eastAsia="zh-Hans"/>
              </w:rPr>
            </w:pPr>
          </w:p>
        </w:tc>
        <w:tc>
          <w:tcPr>
            <w:tcW w:w="1721" w:type="dxa"/>
            <w:shd w:val="clear" w:color="C0C0C0" w:fill="auto"/>
            <w:vAlign w:val="center"/>
          </w:tcPr>
          <w:p w14:paraId="7B625292">
            <w:pPr>
              <w:shd w:val="solid" w:color="FFFFFF" w:fill="auto"/>
              <w:autoSpaceDN w:val="0"/>
              <w:jc w:val="right"/>
              <w:textAlignment w:val="center"/>
              <w:rPr>
                <w:rFonts w:ascii="Times New Roman" w:hAnsi="Times New Roman" w:cs="Times New Roman"/>
                <w:b/>
                <w:bCs/>
                <w:lang w:bidi="ar"/>
              </w:rPr>
            </w:pPr>
            <w:r>
              <w:rPr>
                <w:rFonts w:ascii="Times New Roman" w:hAnsi="Times New Roman" w:cs="Times New Roman"/>
                <w:b/>
                <w:bCs/>
                <w:lang w:bidi="ar"/>
              </w:rPr>
              <w:fldChar w:fldCharType="begin"/>
            </w:r>
            <w:r>
              <w:rPr>
                <w:rFonts w:ascii="Times New Roman" w:hAnsi="Times New Roman" w:cs="Times New Roman"/>
                <w:b/>
                <w:bCs/>
                <w:lang w:bidi="ar"/>
              </w:rPr>
              <w:instrText xml:space="preserve"> =SUM(ABOVE) </w:instrText>
            </w:r>
            <w:r>
              <w:rPr>
                <w:rFonts w:ascii="Times New Roman" w:hAnsi="Times New Roman" w:cs="Times New Roman"/>
                <w:b/>
                <w:bCs/>
                <w:lang w:bidi="ar"/>
              </w:rPr>
              <w:fldChar w:fldCharType="separate"/>
            </w:r>
            <w:r>
              <w:rPr>
                <w:rFonts w:ascii="Times New Roman" w:hAnsi="Times New Roman" w:cs="Times New Roman"/>
                <w:b/>
                <w:bCs/>
                <w:lang w:bidi="ar"/>
              </w:rPr>
              <w:t>299,681.26</w:t>
            </w:r>
            <w:r>
              <w:rPr>
                <w:rFonts w:ascii="Times New Roman" w:hAnsi="Times New Roman" w:cs="Times New Roman"/>
                <w:b/>
                <w:bCs/>
                <w:lang w:bidi="ar"/>
              </w:rPr>
              <w:fldChar w:fldCharType="end"/>
            </w:r>
          </w:p>
        </w:tc>
        <w:tc>
          <w:tcPr>
            <w:tcW w:w="1575" w:type="dxa"/>
            <w:shd w:val="clear" w:color="C0C0C0" w:fill="auto"/>
            <w:vAlign w:val="center"/>
          </w:tcPr>
          <w:p w14:paraId="060699DD">
            <w:pPr>
              <w:shd w:val="solid" w:color="FFFFFF" w:fill="auto"/>
              <w:autoSpaceDN w:val="0"/>
              <w:jc w:val="center"/>
              <w:textAlignment w:val="center"/>
              <w:rPr>
                <w:rFonts w:ascii="Times New Roman" w:hAnsi="Times New Roman" w:cs="Times New Roman"/>
                <w:b/>
                <w:bCs/>
              </w:rPr>
            </w:pPr>
          </w:p>
        </w:tc>
        <w:tc>
          <w:tcPr>
            <w:tcW w:w="1788" w:type="dxa"/>
            <w:shd w:val="clear" w:color="C0C0C0" w:fill="auto"/>
            <w:vAlign w:val="center"/>
          </w:tcPr>
          <w:p w14:paraId="46495946">
            <w:pPr>
              <w:shd w:val="solid" w:color="FFFFFF" w:fill="auto"/>
              <w:autoSpaceDN w:val="0"/>
              <w:jc w:val="right"/>
              <w:textAlignment w:val="center"/>
              <w:rPr>
                <w:rFonts w:ascii="Times New Roman" w:hAnsi="Times New Roman" w:cs="Times New Roman"/>
                <w:b/>
                <w:bCs/>
              </w:rPr>
            </w:pPr>
          </w:p>
        </w:tc>
        <w:tc>
          <w:tcPr>
            <w:tcW w:w="1572" w:type="dxa"/>
            <w:shd w:val="clear" w:color="C0C0C0" w:fill="auto"/>
            <w:vAlign w:val="center"/>
          </w:tcPr>
          <w:p w14:paraId="06F2AFCB">
            <w:pPr>
              <w:shd w:val="solid" w:color="FFFFFF" w:fill="auto"/>
              <w:autoSpaceDN w:val="0"/>
              <w:jc w:val="right"/>
              <w:textAlignment w:val="center"/>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=SUM(ABOVE) </w:instrText>
            </w:r>
            <w:r>
              <w:rPr>
                <w:rFonts w:ascii="Times New Roman" w:hAnsi="Times New Roman" w:cs="Times New Roman"/>
                <w:b/>
                <w:bCs/>
              </w:rPr>
              <w:fldChar w:fldCharType="separate"/>
            </w:r>
            <w:r>
              <w:rPr>
                <w:rFonts w:ascii="Times New Roman" w:hAnsi="Times New Roman" w:cs="Times New Roman"/>
                <w:b/>
                <w:bCs/>
              </w:rPr>
              <w:t>21,222</w:t>
            </w:r>
            <w:r>
              <w:rPr>
                <w:rFonts w:ascii="Times New Roman" w:hAnsi="Times New Roman" w:cs="Times New Roman"/>
                <w:b/>
                <w:bCs/>
              </w:rPr>
              <w:fldChar w:fldCharType="end"/>
            </w:r>
          </w:p>
        </w:tc>
      </w:tr>
    </w:tbl>
    <w:p w14:paraId="12F530EA">
      <w:pPr>
        <w:tabs>
          <w:tab w:val="left" w:pos="7560"/>
          <w:tab w:val="left" w:pos="8100"/>
        </w:tabs>
        <w:spacing w:line="360" w:lineRule="auto"/>
        <w:contextualSpacing/>
        <w:jc w:val="right"/>
        <w:rPr>
          <w:rFonts w:ascii="Times New Roman" w:hAnsi="Times New Roman"/>
        </w:rPr>
      </w:pPr>
      <w:r>
        <w:rPr>
          <w:rFonts w:ascii="Times New Roman" w:hAnsi="Times New Roman" w:cs="Times New Roman"/>
        </w:rPr>
        <w:t>上述信息来源：上交所网站 深交所网站</w:t>
      </w:r>
      <w:r>
        <w:rPr>
          <w:rFonts w:hint="eastAsia" w:ascii="Times New Roman" w:hAnsi="Times New Roman" w:cs="Times New Roman"/>
        </w:rPr>
        <w:t xml:space="preserve"> </w:t>
      </w:r>
      <w:r>
        <w:rPr>
          <w:rFonts w:hint="eastAsia" w:ascii="Times New Roman" w:hAnsi="Times New Roman" w:cs="Times New Roman"/>
          <w:lang w:eastAsia="zh-Hans"/>
        </w:rPr>
        <w:t>北</w:t>
      </w:r>
      <w:r>
        <w:rPr>
          <w:rFonts w:ascii="Times New Roman" w:hAnsi="Times New Roman" w:cs="Times New Roman"/>
        </w:rPr>
        <w:t>交所网站</w:t>
      </w:r>
    </w:p>
    <w:p w14:paraId="63623A7A">
      <w:pPr>
        <w:numPr>
          <w:ilvl w:val="0"/>
          <w:numId w:val="3"/>
        </w:numPr>
        <w:tabs>
          <w:tab w:val="left" w:pos="0"/>
          <w:tab w:val="left" w:pos="840"/>
        </w:tabs>
        <w:spacing w:before="156" w:beforeLines="50" w:after="156" w:afterLines="50" w:line="360" w:lineRule="auto"/>
        <w:rPr>
          <w:rFonts w:ascii="Times New Roman" w:hAnsi="Times New Roman"/>
        </w:rPr>
      </w:pPr>
      <w:bookmarkStart w:id="1" w:name="OLE_LINK5"/>
      <w:r>
        <w:rPr>
          <w:rFonts w:ascii="Times New Roman" w:hAnsi="Times New Roman" w:cs="Times New Roman"/>
          <w:color w:val="000000"/>
        </w:rPr>
        <w:t>全国中小企业股份转让系统公司</w:t>
      </w:r>
      <w:bookmarkEnd w:id="1"/>
      <w:r>
        <w:rPr>
          <w:rFonts w:ascii="Times New Roman" w:hAnsi="Times New Roman" w:cs="Times New Roman"/>
          <w:color w:val="000000"/>
        </w:rPr>
        <w:t>挂牌情况</w:t>
      </w:r>
    </w:p>
    <w:p w14:paraId="4A6A405F">
      <w:pPr>
        <w:spacing w:after="156" w:afterLines="50" w:line="360" w:lineRule="auto"/>
        <w:ind w:firstLine="480" w:firstLineChars="200"/>
        <w:jc w:val="both"/>
        <w:rPr>
          <w:rFonts w:ascii="Times New Roman" w:hAnsi="Times New Roman"/>
        </w:rPr>
      </w:pPr>
      <w:r>
        <w:rPr>
          <w:rFonts w:ascii="Times New Roman" w:hAnsi="Times New Roman" w:cs="Times New Roman"/>
          <w:szCs w:val="27"/>
        </w:rPr>
        <w:t>自2026年</w:t>
      </w:r>
      <w:r>
        <w:rPr>
          <w:rFonts w:hint="eastAsia" w:ascii="Times New Roman" w:hAnsi="Times New Roman" w:cs="Times New Roman"/>
          <w:szCs w:val="27"/>
        </w:rPr>
        <w:t>8</w:t>
      </w:r>
      <w:r>
        <w:rPr>
          <w:rFonts w:ascii="Times New Roman" w:hAnsi="Times New Roman" w:cs="Times New Roman"/>
          <w:szCs w:val="27"/>
        </w:rPr>
        <w:t>月1日至2026年</w:t>
      </w:r>
      <w:r>
        <w:rPr>
          <w:rFonts w:hint="eastAsia" w:ascii="Times New Roman" w:hAnsi="Times New Roman" w:cs="Times New Roman"/>
          <w:szCs w:val="27"/>
        </w:rPr>
        <w:t>8</w:t>
      </w:r>
      <w:r>
        <w:rPr>
          <w:rFonts w:ascii="Times New Roman" w:hAnsi="Times New Roman" w:cs="Times New Roman"/>
          <w:szCs w:val="27"/>
        </w:rPr>
        <w:t>月</w:t>
      </w:r>
      <w:r>
        <w:rPr>
          <w:rFonts w:hint="eastAsia" w:ascii="Times New Roman" w:hAnsi="Times New Roman" w:cs="Times New Roman"/>
          <w:szCs w:val="27"/>
        </w:rPr>
        <w:t>31</w:t>
      </w:r>
      <w:r>
        <w:rPr>
          <w:rFonts w:ascii="Times New Roman" w:hAnsi="Times New Roman" w:cs="Times New Roman"/>
          <w:szCs w:val="27"/>
        </w:rPr>
        <w:t>日，全国中小企业股份转让系统新增挂牌公司</w:t>
      </w:r>
      <w:r>
        <w:rPr>
          <w:rFonts w:hint="eastAsia" w:ascii="Times New Roman" w:hAnsi="Times New Roman" w:cs="Times New Roman"/>
          <w:szCs w:val="27"/>
        </w:rPr>
        <w:t>-50</w:t>
      </w:r>
      <w:r>
        <w:rPr>
          <w:rFonts w:ascii="Times New Roman" w:hAnsi="Times New Roman" w:cs="Times New Roman"/>
          <w:szCs w:val="27"/>
        </w:rPr>
        <w:t>家，截</w:t>
      </w:r>
      <w:r>
        <w:rPr>
          <w:rFonts w:hint="eastAsia" w:ascii="Times New Roman" w:hAnsi="Times New Roman" w:cs="Times New Roman"/>
          <w:szCs w:val="27"/>
        </w:rPr>
        <w:t>至</w:t>
      </w:r>
      <w:r>
        <w:rPr>
          <w:rFonts w:hint="eastAsia" w:ascii="Times New Roman" w:hAnsi="Times New Roman" w:cs="Times New Roman"/>
        </w:rPr>
        <w:t>20</w:t>
      </w:r>
      <w:r>
        <w:rPr>
          <w:rFonts w:ascii="Times New Roman" w:hAnsi="Times New Roman" w:cs="Times New Roman"/>
        </w:rPr>
        <w:t>2</w:t>
      </w:r>
      <w:r>
        <w:rPr>
          <w:rFonts w:hint="eastAsia" w:ascii="Times New Roman" w:hAnsi="Times New Roman" w:cs="Times New Roman"/>
        </w:rPr>
        <w:t>6年8</w:t>
      </w:r>
      <w:r>
        <w:rPr>
          <w:rFonts w:ascii="Times New Roman" w:hAnsi="Times New Roman" w:cs="Times New Roman"/>
        </w:rPr>
        <w:t>月</w:t>
      </w:r>
      <w:r>
        <w:rPr>
          <w:rFonts w:hint="eastAsia" w:ascii="Times New Roman" w:hAnsi="Times New Roman" w:cs="Times New Roman"/>
        </w:rPr>
        <w:t>31</w:t>
      </w:r>
      <w:r>
        <w:rPr>
          <w:rFonts w:ascii="Times New Roman" w:hAnsi="Times New Roman" w:cs="Times New Roman"/>
        </w:rPr>
        <w:t>日</w:t>
      </w:r>
      <w:r>
        <w:rPr>
          <w:rFonts w:ascii="Times New Roman" w:hAnsi="Times New Roman" w:cs="Times New Roman"/>
          <w:szCs w:val="27"/>
        </w:rPr>
        <w:t>，全国中小企业股份转让系统挂牌公司共计</w:t>
      </w:r>
      <w:r>
        <w:rPr>
          <w:rFonts w:hint="eastAsia" w:ascii="Times New Roman" w:hAnsi="Times New Roman" w:cs="Times New Roman"/>
          <w:szCs w:val="27"/>
        </w:rPr>
        <w:t>5</w:t>
      </w:r>
      <w:r>
        <w:rPr>
          <w:rFonts w:ascii="Times New Roman" w:hAnsi="Times New Roman" w:cs="Times New Roman"/>
          <w:szCs w:val="27"/>
        </w:rPr>
        <w:t>,</w:t>
      </w:r>
      <w:r>
        <w:rPr>
          <w:rFonts w:hint="eastAsia" w:ascii="Times New Roman" w:hAnsi="Times New Roman" w:cs="Times New Roman"/>
          <w:szCs w:val="27"/>
        </w:rPr>
        <w:t>791</w:t>
      </w:r>
      <w:r>
        <w:rPr>
          <w:rFonts w:ascii="Times New Roman" w:hAnsi="Times New Roman" w:cs="Times New Roman"/>
          <w:szCs w:val="27"/>
        </w:rPr>
        <w:t>家，其中，</w:t>
      </w:r>
      <w:r>
        <w:rPr>
          <w:rFonts w:hint="eastAsia" w:ascii="Times New Roman" w:hAnsi="Times New Roman" w:cs="Times New Roman"/>
          <w:szCs w:val="27"/>
          <w:lang w:eastAsia="zh-Hans"/>
        </w:rPr>
        <w:t>创新层2</w:t>
      </w:r>
      <w:r>
        <w:rPr>
          <w:rFonts w:hint="eastAsia" w:ascii="Times New Roman" w:hAnsi="Times New Roman" w:cs="Times New Roman"/>
          <w:szCs w:val="27"/>
        </w:rPr>
        <w:t>,276</w:t>
      </w:r>
      <w:r>
        <w:rPr>
          <w:rFonts w:hint="eastAsia" w:ascii="Times New Roman" w:hAnsi="Times New Roman" w:cs="Times New Roman"/>
          <w:szCs w:val="27"/>
          <w:lang w:eastAsia="zh-Hans"/>
        </w:rPr>
        <w:t>家，基础层3</w:t>
      </w:r>
      <w:r>
        <w:rPr>
          <w:rFonts w:hint="eastAsia" w:ascii="Times New Roman" w:hAnsi="Times New Roman" w:cs="Times New Roman"/>
          <w:szCs w:val="27"/>
        </w:rPr>
        <w:t>,508</w:t>
      </w:r>
      <w:r>
        <w:rPr>
          <w:rFonts w:hint="eastAsia" w:ascii="Times New Roman" w:hAnsi="Times New Roman" w:cs="Times New Roman"/>
          <w:szCs w:val="27"/>
          <w:lang w:eastAsia="zh-Hans"/>
        </w:rPr>
        <w:t>家</w:t>
      </w:r>
      <w:r>
        <w:rPr>
          <w:rFonts w:ascii="Times New Roman" w:hAnsi="Times New Roman" w:cs="Times New Roman"/>
          <w:szCs w:val="27"/>
        </w:rPr>
        <w:t>。</w:t>
      </w:r>
    </w:p>
    <w:p w14:paraId="6934657C">
      <w:pPr>
        <w:numPr>
          <w:ilvl w:val="0"/>
          <w:numId w:val="3"/>
        </w:numPr>
        <w:tabs>
          <w:tab w:val="left" w:pos="0"/>
          <w:tab w:val="left" w:pos="840"/>
        </w:tabs>
        <w:spacing w:before="156" w:beforeLines="50" w:after="156" w:afterLines="50" w:line="360" w:lineRule="auto"/>
        <w:rPr>
          <w:rFonts w:ascii="Times New Roman" w:hAnsi="Times New Roman"/>
        </w:rPr>
      </w:pPr>
      <w:r>
        <w:rPr>
          <w:rFonts w:ascii="Times New Roman" w:hAnsi="Times New Roman" w:cs="Times New Roman"/>
          <w:color w:val="000000"/>
        </w:rPr>
        <w:t>债券发行统计</w:t>
      </w:r>
    </w:p>
    <w:p w14:paraId="1A26323F">
      <w:pPr>
        <w:spacing w:after="156" w:afterLines="50" w:line="360" w:lineRule="auto"/>
        <w:ind w:firstLine="480" w:firstLineChars="200"/>
        <w:jc w:val="both"/>
        <w:rPr>
          <w:rFonts w:ascii="Times New Roman" w:hAnsi="Times New Roman" w:cs="Times New Roman"/>
          <w:color w:val="000000"/>
        </w:rPr>
      </w:pPr>
      <w:r>
        <w:rPr>
          <w:rFonts w:hint="eastAsia" w:ascii="Times New Roman" w:hAnsi="Times New Roman" w:cs="Times New Roman"/>
          <w:color w:val="000000"/>
        </w:rPr>
        <w:t>因上期资本市场信息未披露</w:t>
      </w:r>
      <w:r>
        <w:rPr>
          <w:rFonts w:hint="eastAsia" w:ascii="Times New Roman" w:hAnsi="Times New Roman" w:cs="Times New Roman"/>
        </w:rPr>
        <w:t>2026年7月</w:t>
      </w:r>
      <w:r>
        <w:rPr>
          <w:rFonts w:hint="eastAsia" w:ascii="Times New Roman" w:hAnsi="Times New Roman" w:cs="Times New Roman"/>
          <w:color w:val="000000"/>
        </w:rPr>
        <w:t>的债券发行统计信息，且中国债券信息网暂未公布2026年8月的债券发行统计信息，本期资本市场信息补充披露2026年7月债券发行统计数据如下</w:t>
      </w:r>
      <w:r>
        <w:rPr>
          <w:rFonts w:ascii="Times New Roman" w:hAnsi="Times New Roman" w:cs="Times New Roman"/>
          <w:color w:val="000000"/>
        </w:rPr>
        <w:t>：</w:t>
      </w:r>
    </w:p>
    <w:p w14:paraId="2778132A">
      <w:pPr>
        <w:tabs>
          <w:tab w:val="left" w:pos="0"/>
          <w:tab w:val="left" w:pos="840"/>
        </w:tabs>
        <w:snapToGrid w:val="0"/>
        <w:spacing w:after="0" w:afterLines="-2147483648" w:line="240" w:lineRule="auto"/>
        <w:ind w:firstLine="480" w:firstLineChars="200"/>
        <w:jc w:val="right"/>
        <w:rPr>
          <w:rFonts w:ascii="Times New Roman" w:hAnsi="Times New Roman" w:cs="Times New Roman"/>
          <w:color w:val="000000"/>
        </w:rPr>
      </w:pPr>
      <w:r>
        <w:rPr>
          <w:rFonts w:hint="eastAsia" w:ascii="Times New Roman" w:hAnsi="Times New Roman" w:cs="Times New Roman"/>
          <w:color w:val="000000"/>
        </w:rPr>
        <w:t>单位：亿元</w:t>
      </w:r>
    </w:p>
    <w:tbl>
      <w:tblPr>
        <w:tblStyle w:val="10"/>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3118"/>
        <w:gridCol w:w="3260"/>
      </w:tblGrid>
      <w:tr w14:paraId="2915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2684" w:type="dxa"/>
            <w:shd w:val="clear" w:color="000000" w:fill="C0C0C0"/>
            <w:noWrap/>
            <w:vAlign w:val="center"/>
          </w:tcPr>
          <w:p w14:paraId="7630D6FB">
            <w:pPr>
              <w:rPr>
                <w:rFonts w:ascii="Times New Roman" w:hAnsi="Times New Roman"/>
                <w:b/>
                <w:bCs/>
              </w:rPr>
            </w:pPr>
          </w:p>
        </w:tc>
        <w:tc>
          <w:tcPr>
            <w:tcW w:w="3118" w:type="dxa"/>
            <w:shd w:val="clear" w:color="000000" w:fill="C0C0C0"/>
            <w:noWrap/>
            <w:vAlign w:val="center"/>
          </w:tcPr>
          <w:p w14:paraId="4AB45F48">
            <w:pPr>
              <w:jc w:val="center"/>
              <w:rPr>
                <w:rFonts w:ascii="Times New Roman" w:hAnsi="Times New Roman"/>
                <w:b/>
                <w:bCs/>
              </w:rPr>
            </w:pPr>
            <w:r>
              <w:rPr>
                <w:rFonts w:ascii="Times New Roman" w:hAnsi="Times New Roman" w:cs="Times New Roman"/>
                <w:b/>
                <w:bCs/>
                <w:color w:val="000000"/>
              </w:rPr>
              <w:t>本月</w:t>
            </w:r>
            <w:r>
              <w:rPr>
                <w:rFonts w:hint="eastAsia" w:ascii="Times New Roman" w:hAnsi="Times New Roman" w:cs="Times New Roman"/>
                <w:b/>
                <w:bCs/>
                <w:color w:val="000000"/>
              </w:rPr>
              <w:t>（2026年7月）</w:t>
            </w:r>
          </w:p>
        </w:tc>
        <w:tc>
          <w:tcPr>
            <w:tcW w:w="3260" w:type="dxa"/>
            <w:shd w:val="clear" w:color="000000" w:fill="C0C0C0"/>
            <w:noWrap/>
            <w:vAlign w:val="center"/>
          </w:tcPr>
          <w:p w14:paraId="04B82FFE">
            <w:pPr>
              <w:jc w:val="center"/>
              <w:rPr>
                <w:rFonts w:ascii="Times New Roman" w:hAnsi="Times New Roman"/>
                <w:b/>
                <w:bCs/>
              </w:rPr>
            </w:pPr>
            <w:r>
              <w:rPr>
                <w:rFonts w:hint="eastAsia" w:ascii="Times New Roman" w:hAnsi="Times New Roman" w:cs="Times New Roman"/>
                <w:b/>
                <w:bCs/>
                <w:color w:val="000000"/>
              </w:rPr>
              <w:t>本年</w:t>
            </w:r>
            <w:r>
              <w:rPr>
                <w:rFonts w:ascii="Times New Roman" w:hAnsi="Times New Roman" w:cs="Times New Roman"/>
                <w:b/>
                <w:bCs/>
                <w:color w:val="000000"/>
              </w:rPr>
              <w:t>累计</w:t>
            </w:r>
          </w:p>
        </w:tc>
      </w:tr>
      <w:tr w14:paraId="28BC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437810F8">
            <w:pPr>
              <w:rPr>
                <w:rFonts w:ascii="Times New Roman" w:hAnsi="Times New Roman"/>
                <w:b/>
                <w:bCs/>
              </w:rPr>
            </w:pPr>
            <w:r>
              <w:rPr>
                <w:rFonts w:ascii="Times New Roman" w:hAnsi="Times New Roman" w:cs="Times New Roman"/>
                <w:b/>
                <w:bCs/>
                <w:color w:val="000000"/>
              </w:rPr>
              <w:t>国债</w:t>
            </w:r>
          </w:p>
        </w:tc>
        <w:tc>
          <w:tcPr>
            <w:tcW w:w="3118" w:type="dxa"/>
            <w:noWrap/>
            <w:vAlign w:val="center"/>
          </w:tcPr>
          <w:p w14:paraId="702FCEE9">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13,397.00</w:t>
            </w:r>
          </w:p>
        </w:tc>
        <w:tc>
          <w:tcPr>
            <w:tcW w:w="3260" w:type="dxa"/>
            <w:noWrap/>
            <w:vAlign w:val="center"/>
          </w:tcPr>
          <w:p w14:paraId="7521B228">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90,332.62</w:t>
            </w:r>
          </w:p>
        </w:tc>
      </w:tr>
      <w:tr w14:paraId="5F5A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2684" w:type="dxa"/>
            <w:shd w:val="clear" w:color="000000" w:fill="C0C0C0"/>
            <w:noWrap/>
            <w:vAlign w:val="center"/>
          </w:tcPr>
          <w:p w14:paraId="69B5F9A0">
            <w:pPr>
              <w:rPr>
                <w:rFonts w:ascii="Times New Roman" w:hAnsi="Times New Roman"/>
                <w:b/>
                <w:bCs/>
              </w:rPr>
            </w:pPr>
            <w:r>
              <w:rPr>
                <w:rFonts w:ascii="Times New Roman" w:hAnsi="Times New Roman" w:cs="Times New Roman"/>
                <w:b/>
                <w:bCs/>
                <w:color w:val="000000"/>
              </w:rPr>
              <w:t>地方政府债</w:t>
            </w:r>
          </w:p>
        </w:tc>
        <w:tc>
          <w:tcPr>
            <w:tcW w:w="3118" w:type="dxa"/>
            <w:noWrap/>
            <w:vAlign w:val="center"/>
          </w:tcPr>
          <w:p w14:paraId="053669DD">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7,382.86</w:t>
            </w:r>
          </w:p>
        </w:tc>
        <w:tc>
          <w:tcPr>
            <w:tcW w:w="3260" w:type="dxa"/>
            <w:noWrap/>
            <w:vAlign w:val="center"/>
          </w:tcPr>
          <w:p w14:paraId="1387E4A2">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66,089.21</w:t>
            </w:r>
          </w:p>
        </w:tc>
      </w:tr>
      <w:tr w14:paraId="1651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38B02971">
            <w:pPr>
              <w:rPr>
                <w:rFonts w:ascii="Times New Roman" w:hAnsi="Times New Roman"/>
                <w:b/>
                <w:bCs/>
              </w:rPr>
            </w:pPr>
            <w:r>
              <w:rPr>
                <w:rFonts w:ascii="Times New Roman" w:hAnsi="Times New Roman" w:cs="Times New Roman"/>
                <w:b/>
                <w:bCs/>
                <w:color w:val="000000"/>
              </w:rPr>
              <w:t>央行票据</w:t>
            </w:r>
          </w:p>
        </w:tc>
        <w:tc>
          <w:tcPr>
            <w:tcW w:w="3118" w:type="dxa"/>
            <w:noWrap/>
            <w:vAlign w:val="center"/>
          </w:tcPr>
          <w:p w14:paraId="59329457">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0.00</w:t>
            </w:r>
          </w:p>
        </w:tc>
        <w:tc>
          <w:tcPr>
            <w:tcW w:w="3260" w:type="dxa"/>
            <w:noWrap/>
            <w:vAlign w:val="center"/>
          </w:tcPr>
          <w:p w14:paraId="0471A19B">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0.00</w:t>
            </w:r>
          </w:p>
        </w:tc>
      </w:tr>
      <w:tr w14:paraId="23DF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4A49EBE9">
            <w:pPr>
              <w:rPr>
                <w:rFonts w:ascii="Times New Roman" w:hAnsi="Times New Roman"/>
                <w:b/>
                <w:bCs/>
              </w:rPr>
            </w:pPr>
            <w:r>
              <w:rPr>
                <w:rFonts w:ascii="Times New Roman" w:hAnsi="Times New Roman" w:cs="Times New Roman"/>
                <w:b/>
                <w:bCs/>
                <w:color w:val="000000"/>
              </w:rPr>
              <w:t>政策性银行债</w:t>
            </w:r>
          </w:p>
        </w:tc>
        <w:tc>
          <w:tcPr>
            <w:tcW w:w="3118" w:type="dxa"/>
            <w:noWrap/>
            <w:vAlign w:val="center"/>
          </w:tcPr>
          <w:p w14:paraId="10EC2104">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4,060.00</w:t>
            </w:r>
          </w:p>
        </w:tc>
        <w:tc>
          <w:tcPr>
            <w:tcW w:w="3260" w:type="dxa"/>
            <w:noWrap/>
            <w:vAlign w:val="center"/>
          </w:tcPr>
          <w:p w14:paraId="4DBB41FC">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29,209.50</w:t>
            </w:r>
          </w:p>
        </w:tc>
      </w:tr>
      <w:tr w14:paraId="1176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48E07655">
            <w:pPr>
              <w:rPr>
                <w:rFonts w:ascii="Times New Roman" w:hAnsi="Times New Roman"/>
                <w:b/>
                <w:bCs/>
              </w:rPr>
            </w:pPr>
            <w:r>
              <w:rPr>
                <w:rFonts w:ascii="Times New Roman" w:hAnsi="Times New Roman" w:cs="Times New Roman"/>
                <w:b/>
                <w:bCs/>
                <w:color w:val="000000"/>
              </w:rPr>
              <w:t>政府支持机构债</w:t>
            </w:r>
          </w:p>
        </w:tc>
        <w:tc>
          <w:tcPr>
            <w:tcW w:w="3118" w:type="dxa"/>
            <w:noWrap/>
            <w:vAlign w:val="center"/>
          </w:tcPr>
          <w:p w14:paraId="662867C1">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100.00</w:t>
            </w:r>
          </w:p>
        </w:tc>
        <w:tc>
          <w:tcPr>
            <w:tcW w:w="3260" w:type="dxa"/>
            <w:noWrap/>
            <w:vAlign w:val="center"/>
          </w:tcPr>
          <w:p w14:paraId="37213EE4">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1,100.00</w:t>
            </w:r>
          </w:p>
        </w:tc>
      </w:tr>
      <w:tr w14:paraId="1B2E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093D101E">
            <w:pPr>
              <w:rPr>
                <w:rFonts w:ascii="Times New Roman" w:hAnsi="Times New Roman"/>
                <w:b/>
                <w:bCs/>
              </w:rPr>
            </w:pPr>
            <w:r>
              <w:rPr>
                <w:rFonts w:ascii="Times New Roman" w:hAnsi="Times New Roman" w:cs="Times New Roman"/>
                <w:b/>
                <w:bCs/>
                <w:color w:val="000000"/>
              </w:rPr>
              <w:t>商业银行债券</w:t>
            </w:r>
          </w:p>
        </w:tc>
        <w:tc>
          <w:tcPr>
            <w:tcW w:w="3118" w:type="dxa"/>
            <w:noWrap/>
            <w:vAlign w:val="center"/>
          </w:tcPr>
          <w:p w14:paraId="06A01616">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300.00</w:t>
            </w:r>
          </w:p>
        </w:tc>
        <w:tc>
          <w:tcPr>
            <w:tcW w:w="3260" w:type="dxa"/>
            <w:noWrap/>
            <w:vAlign w:val="center"/>
          </w:tcPr>
          <w:p w14:paraId="467BEC89">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300.00</w:t>
            </w:r>
          </w:p>
        </w:tc>
      </w:tr>
      <w:tr w14:paraId="0192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51AEACCD">
            <w:pPr>
              <w:rPr>
                <w:rFonts w:ascii="Times New Roman" w:hAnsi="Times New Roman"/>
                <w:b/>
                <w:bCs/>
              </w:rPr>
            </w:pPr>
            <w:r>
              <w:rPr>
                <w:rFonts w:ascii="Times New Roman" w:hAnsi="Times New Roman" w:cs="Times New Roman"/>
                <w:b/>
                <w:bCs/>
                <w:color w:val="000000"/>
              </w:rPr>
              <w:t>非银行金融机构债券</w:t>
            </w:r>
          </w:p>
        </w:tc>
        <w:tc>
          <w:tcPr>
            <w:tcW w:w="3118" w:type="dxa"/>
            <w:noWrap/>
            <w:vAlign w:val="center"/>
          </w:tcPr>
          <w:p w14:paraId="3528211F">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96.00</w:t>
            </w:r>
          </w:p>
        </w:tc>
        <w:tc>
          <w:tcPr>
            <w:tcW w:w="3260" w:type="dxa"/>
            <w:noWrap/>
            <w:vAlign w:val="center"/>
          </w:tcPr>
          <w:p w14:paraId="5F8B6446">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266.00</w:t>
            </w:r>
          </w:p>
        </w:tc>
      </w:tr>
      <w:tr w14:paraId="4700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72E6A60E">
            <w:pPr>
              <w:rPr>
                <w:rFonts w:ascii="Times New Roman" w:hAnsi="Times New Roman"/>
                <w:b/>
                <w:bCs/>
              </w:rPr>
            </w:pPr>
            <w:r>
              <w:rPr>
                <w:rFonts w:ascii="Times New Roman" w:hAnsi="Times New Roman" w:cs="Times New Roman"/>
                <w:b/>
                <w:bCs/>
                <w:color w:val="000000"/>
              </w:rPr>
              <w:t>企业债券</w:t>
            </w:r>
          </w:p>
        </w:tc>
        <w:tc>
          <w:tcPr>
            <w:tcW w:w="3118" w:type="dxa"/>
            <w:noWrap/>
            <w:vAlign w:val="center"/>
          </w:tcPr>
          <w:p w14:paraId="157D57A2">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20.00</w:t>
            </w:r>
          </w:p>
        </w:tc>
        <w:tc>
          <w:tcPr>
            <w:tcW w:w="3260" w:type="dxa"/>
            <w:noWrap/>
            <w:vAlign w:val="center"/>
          </w:tcPr>
          <w:p w14:paraId="04979A20">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69.00</w:t>
            </w:r>
          </w:p>
        </w:tc>
      </w:tr>
      <w:tr w14:paraId="5C03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4" w:type="dxa"/>
            <w:shd w:val="clear" w:color="000000" w:fill="C0C0C0"/>
            <w:noWrap/>
            <w:vAlign w:val="center"/>
          </w:tcPr>
          <w:p w14:paraId="795E48D4">
            <w:pPr>
              <w:rPr>
                <w:rFonts w:ascii="Times New Roman" w:hAnsi="Times New Roman"/>
                <w:b/>
                <w:bCs/>
              </w:rPr>
            </w:pPr>
            <w:r>
              <w:rPr>
                <w:rFonts w:ascii="Times New Roman" w:hAnsi="Times New Roman" w:cs="Times New Roman"/>
                <w:b/>
                <w:bCs/>
                <w:color w:val="000000"/>
              </w:rPr>
              <w:t>信贷资产支持证券</w:t>
            </w:r>
          </w:p>
        </w:tc>
        <w:tc>
          <w:tcPr>
            <w:tcW w:w="3118" w:type="dxa"/>
            <w:noWrap/>
            <w:vAlign w:val="center"/>
          </w:tcPr>
          <w:p w14:paraId="311CD338">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118.63</w:t>
            </w:r>
          </w:p>
        </w:tc>
        <w:tc>
          <w:tcPr>
            <w:tcW w:w="3260" w:type="dxa"/>
            <w:noWrap/>
            <w:vAlign w:val="center"/>
          </w:tcPr>
          <w:p w14:paraId="39DFDBE4">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1,524.71</w:t>
            </w:r>
          </w:p>
        </w:tc>
      </w:tr>
      <w:tr w14:paraId="015B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11C8E756">
            <w:pPr>
              <w:rPr>
                <w:rFonts w:ascii="Times New Roman" w:hAnsi="Times New Roman"/>
                <w:b/>
                <w:bCs/>
              </w:rPr>
            </w:pPr>
            <w:r>
              <w:rPr>
                <w:rFonts w:ascii="Times New Roman" w:hAnsi="Times New Roman" w:cs="Times New Roman"/>
                <w:b/>
                <w:bCs/>
                <w:color w:val="000000"/>
              </w:rPr>
              <w:t>其他债券</w:t>
            </w:r>
          </w:p>
        </w:tc>
        <w:tc>
          <w:tcPr>
            <w:tcW w:w="3118" w:type="dxa"/>
            <w:noWrap/>
            <w:vAlign w:val="center"/>
          </w:tcPr>
          <w:p w14:paraId="635F9460">
            <w:pPr>
              <w:shd w:val="solid" w:color="FFFFFF" w:fill="auto"/>
              <w:autoSpaceDN w:val="0"/>
              <w:jc w:val="right"/>
              <w:textAlignment w:val="center"/>
              <w:rPr>
                <w:rFonts w:ascii="Times New Roman" w:hAnsi="Times New Roman" w:cs="Times New Roman"/>
              </w:rPr>
            </w:pPr>
            <w:r>
              <w:rPr>
                <w:rFonts w:ascii="Times New Roman" w:hAnsi="Times New Roman" w:cs="Times New Roman"/>
              </w:rPr>
              <w:t>0.00</w:t>
            </w:r>
          </w:p>
        </w:tc>
        <w:tc>
          <w:tcPr>
            <w:tcW w:w="3260" w:type="dxa"/>
            <w:noWrap/>
            <w:vAlign w:val="center"/>
          </w:tcPr>
          <w:p w14:paraId="64CC0150">
            <w:pPr>
              <w:shd w:val="solid" w:color="FFFFFF" w:fill="auto"/>
              <w:autoSpaceDN w:val="0"/>
              <w:jc w:val="right"/>
              <w:textAlignment w:val="center"/>
              <w:rPr>
                <w:rFonts w:ascii="Times New Roman" w:hAnsi="Times New Roman" w:cs="Times New Roman"/>
              </w:rPr>
            </w:pPr>
            <w:r>
              <w:rPr>
                <w:rFonts w:hint="eastAsia" w:ascii="Times New Roman" w:hAnsi="Times New Roman" w:eastAsia="宋体" w:cs="Times New Roman"/>
                <w:color w:val="auto"/>
                <w:sz w:val="24"/>
                <w:szCs w:val="24"/>
              </w:rPr>
              <w:t>0.00</w:t>
            </w:r>
          </w:p>
        </w:tc>
      </w:tr>
      <w:tr w14:paraId="370C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684" w:type="dxa"/>
            <w:shd w:val="clear" w:color="000000" w:fill="C0C0C0"/>
            <w:noWrap/>
            <w:vAlign w:val="center"/>
          </w:tcPr>
          <w:p w14:paraId="244486AF">
            <w:pPr>
              <w:rPr>
                <w:rFonts w:ascii="Times New Roman" w:hAnsi="Times New Roman"/>
                <w:b/>
                <w:bCs/>
              </w:rPr>
            </w:pPr>
            <w:r>
              <w:rPr>
                <w:rFonts w:ascii="Times New Roman" w:hAnsi="Times New Roman" w:cs="Times New Roman"/>
                <w:b/>
                <w:bCs/>
                <w:color w:val="000000"/>
              </w:rPr>
              <w:t>合  计</w:t>
            </w:r>
          </w:p>
        </w:tc>
        <w:tc>
          <w:tcPr>
            <w:tcW w:w="3118" w:type="dxa"/>
            <w:noWrap/>
            <w:vAlign w:val="center"/>
          </w:tcPr>
          <w:p w14:paraId="73EFB8CB">
            <w:pPr>
              <w:shd w:val="solid" w:color="FFFFFF" w:fill="auto"/>
              <w:autoSpaceDN w:val="0"/>
              <w:jc w:val="right"/>
              <w:textAlignment w:val="center"/>
              <w:rPr>
                <w:rFonts w:hint="eastAsia" w:ascii="Times New Roman" w:hAnsi="Times New Roman"/>
                <w:b/>
                <w:bCs/>
              </w:rPr>
            </w:pPr>
            <w:r>
              <w:rPr>
                <w:rFonts w:ascii="Times New Roman" w:hAnsi="Times New Roman"/>
                <w:b/>
                <w:bCs/>
              </w:rPr>
              <w:fldChar w:fldCharType="begin"/>
            </w:r>
            <w:r>
              <w:rPr>
                <w:rFonts w:ascii="Times New Roman" w:hAnsi="Times New Roman"/>
                <w:b/>
                <w:bCs/>
              </w:rPr>
              <w:instrText xml:space="preserve"> </w:instrText>
            </w:r>
            <w:r>
              <w:rPr>
                <w:rFonts w:hint="eastAsia" w:ascii="Times New Roman" w:hAnsi="Times New Roman"/>
                <w:b/>
                <w:bCs/>
              </w:rPr>
              <w:instrText xml:space="preserve">=SUM(ABOVE)</w:instrText>
            </w:r>
            <w:r>
              <w:rPr>
                <w:rFonts w:ascii="Times New Roman" w:hAnsi="Times New Roman"/>
                <w:b/>
                <w:bCs/>
              </w:rPr>
              <w:instrText xml:space="preserve"> </w:instrText>
            </w:r>
            <w:r>
              <w:rPr>
                <w:rFonts w:ascii="Times New Roman" w:hAnsi="Times New Roman"/>
                <w:b/>
                <w:bCs/>
              </w:rPr>
              <w:fldChar w:fldCharType="separate"/>
            </w:r>
            <w:r>
              <w:rPr>
                <w:rFonts w:ascii="Times New Roman" w:hAnsi="Times New Roman"/>
                <w:b/>
                <w:bCs/>
              </w:rPr>
              <w:t>25,474.49</w:t>
            </w:r>
            <w:r>
              <w:rPr>
                <w:rFonts w:ascii="Times New Roman" w:hAnsi="Times New Roman"/>
                <w:b/>
                <w:bCs/>
              </w:rPr>
              <w:fldChar w:fldCharType="end"/>
            </w:r>
          </w:p>
        </w:tc>
        <w:tc>
          <w:tcPr>
            <w:tcW w:w="3260" w:type="dxa"/>
            <w:noWrap/>
            <w:vAlign w:val="center"/>
          </w:tcPr>
          <w:p w14:paraId="4E914B8E">
            <w:pPr>
              <w:shd w:val="solid" w:color="FFFFFF" w:fill="auto"/>
              <w:autoSpaceDN w:val="0"/>
              <w:jc w:val="right"/>
              <w:textAlignment w:val="cente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=SUM(ABOVE) </w:instrText>
            </w:r>
            <w:r>
              <w:rPr>
                <w:rFonts w:ascii="Times New Roman" w:hAnsi="Times New Roman"/>
                <w:b/>
                <w:bCs/>
              </w:rPr>
              <w:fldChar w:fldCharType="separate"/>
            </w:r>
            <w:r>
              <w:rPr>
                <w:rFonts w:ascii="Times New Roman" w:hAnsi="Times New Roman"/>
                <w:b/>
                <w:bCs/>
              </w:rPr>
              <w:t>188,891.0</w:t>
            </w:r>
            <w:r>
              <w:rPr>
                <w:rFonts w:hint="eastAsia" w:ascii="Times New Roman" w:hAnsi="Times New Roman"/>
                <w:b/>
                <w:bCs/>
              </w:rPr>
              <w:t>3</w:t>
            </w:r>
            <w:r>
              <w:rPr>
                <w:rFonts w:ascii="Times New Roman" w:hAnsi="Times New Roman"/>
                <w:b/>
                <w:bCs/>
              </w:rPr>
              <w:fldChar w:fldCharType="end"/>
            </w:r>
          </w:p>
        </w:tc>
      </w:tr>
    </w:tbl>
    <w:p w14:paraId="35537C66">
      <w:pPr>
        <w:tabs>
          <w:tab w:val="left" w:pos="7560"/>
          <w:tab w:val="left" w:pos="8100"/>
        </w:tabs>
        <w:spacing w:line="360" w:lineRule="auto"/>
        <w:contextualSpacing/>
        <w:jc w:val="right"/>
        <w:rPr>
          <w:rFonts w:ascii="Times New Roman" w:hAnsi="Times New Roman"/>
        </w:rPr>
      </w:pPr>
      <w:r>
        <w:rPr>
          <w:rFonts w:ascii="Times New Roman" w:hAnsi="Times New Roman" w:cs="Times New Roman"/>
        </w:rPr>
        <w:t>数据来源：中国债券信息网</w:t>
      </w:r>
    </w:p>
    <w:p w14:paraId="5ED82946">
      <w:pPr>
        <w:tabs>
          <w:tab w:val="left" w:pos="0"/>
          <w:tab w:val="left" w:pos="840"/>
        </w:tabs>
        <w:spacing w:before="156" w:beforeLines="50" w:after="156" w:afterLines="50"/>
        <w:rPr>
          <w:rFonts w:ascii="Times New Roman" w:hAnsi="Times New Roman" w:eastAsia="黑体"/>
          <w:b/>
          <w:color w:val="FFFFFF"/>
          <w:sz w:val="32"/>
          <w:szCs w:val="32"/>
          <w:highlight w:val="blue"/>
          <w:shd w:val="clear" w:color="FFFFFF" w:fill="D9D9D9"/>
        </w:rPr>
      </w:pPr>
      <w:r>
        <w:rPr>
          <w:rFonts w:ascii="Times New Roman" w:hAnsi="Times New Roman" w:eastAsia="黑体"/>
          <w:b/>
          <w:color w:val="FFFFFF"/>
          <w:sz w:val="32"/>
          <w:szCs w:val="32"/>
          <w:highlight w:val="blue"/>
          <w:shd w:val="clear" w:color="FFFFFF" w:fill="D9D9D9"/>
        </w:rPr>
        <w:t>新规及解读</w:t>
      </w:r>
    </w:p>
    <w:p w14:paraId="336A42B7">
      <w:pPr>
        <w:pStyle w:val="8"/>
        <w:numPr>
          <w:ilvl w:val="0"/>
          <w:numId w:val="4"/>
        </w:numPr>
        <w:shd w:val="clear" w:color="auto" w:fill="FFFFFF"/>
        <w:tabs>
          <w:tab w:val="left" w:pos="426"/>
        </w:tabs>
        <w:adjustRightInd w:val="0"/>
        <w:snapToGrid w:val="0"/>
        <w:spacing w:after="156" w:afterLines="50" w:line="360" w:lineRule="auto"/>
        <w:ind w:left="0" w:firstLine="480" w:firstLineChars="200"/>
        <w:jc w:val="both"/>
        <w:outlineLvl w:val="1"/>
        <w:rPr>
          <w:rFonts w:hint="eastAsia" w:ascii="Times New Roman" w:hAnsi="Times New Roman" w:cs="Times New Roman"/>
          <w:b w:val="0"/>
          <w:bCs w:val="0"/>
          <w:color w:val="000000"/>
        </w:rPr>
      </w:pPr>
      <w:r>
        <w:rPr>
          <w:rFonts w:hint="eastAsia" w:ascii="Times New Roman" w:hAnsi="Times New Roman" w:cs="Times New Roman"/>
          <w:b w:val="0"/>
          <w:bCs w:val="0"/>
          <w:color w:val="000000"/>
          <w:lang w:val="en-US" w:eastAsia="zh-CN"/>
        </w:rPr>
        <w:t>8月5日，</w:t>
      </w:r>
      <w:r>
        <w:rPr>
          <w:rFonts w:hint="eastAsia" w:ascii="Times New Roman" w:hAnsi="Times New Roman" w:cs="Times New Roman"/>
          <w:b w:val="0"/>
          <w:bCs w:val="0"/>
          <w:color w:val="000000"/>
        </w:rPr>
        <w:t>财政部修订印发了《企业会计准则第30号——财务报表列报》（财会〔2026〕11号，以下简称“新列报准则”）。在境内外同时上市的企业以及在境外上市并采用国际财务报告会计准则或企业会计准则编制财务报表的企业，自2027年1月1日起执行；其他境内上市企业，自2029年1月1日起执行；执行企业会计准则的非上市企业，自2030年1月1日起执行。同时，允许企业提前执行。</w:t>
      </w:r>
    </w:p>
    <w:p w14:paraId="3CB61913">
      <w:pPr>
        <w:pStyle w:val="8"/>
        <w:numPr>
          <w:ilvl w:val="255"/>
          <w:numId w:val="0"/>
        </w:numPr>
        <w:shd w:val="clear" w:color="auto" w:fill="FFFFFF"/>
        <w:tabs>
          <w:tab w:val="left" w:pos="426"/>
        </w:tabs>
        <w:adjustRightInd w:val="0"/>
        <w:snapToGrid w:val="0"/>
        <w:spacing w:after="156" w:afterLines="50" w:line="360" w:lineRule="auto"/>
        <w:ind w:firstLine="480" w:firstLineChars="200"/>
        <w:jc w:val="both"/>
        <w:outlineLvl w:val="1"/>
        <w:rPr>
          <w:rFonts w:hint="eastAsia" w:ascii="Times New Roman" w:hAnsi="Times New Roman" w:cs="Times New Roman"/>
          <w:b w:val="0"/>
          <w:bCs w:val="0"/>
          <w:color w:val="000000"/>
        </w:rPr>
      </w:pPr>
      <w:r>
        <w:rPr>
          <w:rFonts w:hint="eastAsia" w:ascii="Times New Roman" w:hAnsi="Times New Roman" w:cs="Times New Roman"/>
          <w:color w:val="000000"/>
        </w:rPr>
        <w:t>新列报准则核心修订内容包括以下四个方面：</w:t>
      </w:r>
      <w:r>
        <w:rPr>
          <w:rFonts w:hint="eastAsia" w:ascii="Times New Roman" w:hAnsi="Times New Roman" w:cs="Times New Roman"/>
          <w:b/>
          <w:bCs/>
          <w:color w:val="000000"/>
        </w:rPr>
        <w:t>一是</w:t>
      </w:r>
      <w:r>
        <w:rPr>
          <w:rFonts w:hint="eastAsia" w:ascii="Times New Roman" w:hAnsi="Times New Roman" w:cs="Times New Roman"/>
          <w:b w:val="0"/>
          <w:bCs w:val="0"/>
          <w:color w:val="000000"/>
        </w:rPr>
        <w:t>优化利润表结构。将企业利润表中的当期损益划分为经营、投资、筹资、所得税费用、终止经营五个类别，并新增“经营利润”“经营及投资利润”“持续经营利润”等合计项目，以便于更加清晰有效地区分企业利润来源、分析企业财务业绩，提升会计信息的有用性和结构性。</w:t>
      </w:r>
      <w:r>
        <w:rPr>
          <w:rFonts w:hint="eastAsia" w:ascii="Times New Roman" w:hAnsi="Times New Roman" w:cs="Times New Roman"/>
          <w:b/>
          <w:bCs/>
          <w:color w:val="000000"/>
        </w:rPr>
        <w:t>二是</w:t>
      </w:r>
      <w:r>
        <w:rPr>
          <w:rFonts w:hint="eastAsia" w:ascii="Times New Roman" w:hAnsi="Times New Roman" w:cs="Times New Roman"/>
          <w:b w:val="0"/>
          <w:bCs w:val="0"/>
          <w:color w:val="000000"/>
        </w:rPr>
        <w:t>引入管理层业绩指标披露要求。新列报准则规定，如果企业在财务报表之外正式公开的书面资料中，使用了并非会计准则要求列报的损益类合计项目，用于向使用者提供管理层对企业整体财务业绩某一方面的看法，则企业应当将其作为管理层业绩指标，在附注中进行单独披露，并披露其内涵及计算方式等。</w:t>
      </w:r>
      <w:r>
        <w:rPr>
          <w:rFonts w:hint="eastAsia" w:ascii="Times New Roman" w:hAnsi="Times New Roman" w:cs="Times New Roman"/>
          <w:b/>
          <w:bCs/>
          <w:color w:val="000000"/>
        </w:rPr>
        <w:t>三是</w:t>
      </w:r>
      <w:r>
        <w:rPr>
          <w:rFonts w:hint="eastAsia" w:ascii="Times New Roman" w:hAnsi="Times New Roman" w:cs="Times New Roman"/>
          <w:b w:val="0"/>
          <w:bCs w:val="0"/>
          <w:color w:val="000000"/>
        </w:rPr>
        <w:t>明确财务报表信息汇总与分解等原则。新列报准则对财务信息的汇总与分解提出了更为明确和细致的原则，要求具有共同特征的项目应当汇总列报，具有不同特征的项目应当分解列报，且项目归集的方式不应当导致重要信息被模糊处理或者信息的可理解性被降低等，从而有助于相关信息在财务报表中得以更加清晰、充分列报。</w:t>
      </w:r>
      <w:r>
        <w:rPr>
          <w:rFonts w:hint="eastAsia" w:ascii="Times New Roman" w:hAnsi="Times New Roman" w:cs="Times New Roman"/>
          <w:b/>
          <w:bCs/>
          <w:color w:val="000000"/>
        </w:rPr>
        <w:t>四是</w:t>
      </w:r>
      <w:r>
        <w:rPr>
          <w:rFonts w:hint="eastAsia" w:ascii="Times New Roman" w:hAnsi="Times New Roman" w:cs="Times New Roman"/>
          <w:b w:val="0"/>
          <w:bCs w:val="0"/>
          <w:color w:val="000000"/>
        </w:rPr>
        <w:t>完善“重要性”的定义。“重要性”是财务报表列报中的一项核心原则，新列报准则对“重要性”的定义进行了修订，明确在合理预期下，财务报表某项目的省略、错报或模糊处理会影响使用者据此作出经济决策的，该项目具有重要性。其中，“模糊处理”为新增条件，是指相关信息虽然存在于财务报表中，但因其呈现方式不恰当，导致使用者难以获取或理解重要信息，从而产生与省略或错报相似的影响。</w:t>
      </w:r>
    </w:p>
    <w:p w14:paraId="26A18862">
      <w:pPr>
        <w:pStyle w:val="8"/>
        <w:numPr>
          <w:ilvl w:val="0"/>
          <w:numId w:val="4"/>
        </w:numPr>
        <w:shd w:val="clear" w:color="auto" w:fill="FFFFFF"/>
        <w:tabs>
          <w:tab w:val="left" w:pos="426"/>
        </w:tabs>
        <w:adjustRightInd w:val="0"/>
        <w:snapToGrid w:val="0"/>
        <w:spacing w:after="156" w:afterLines="50" w:line="360" w:lineRule="auto"/>
        <w:ind w:left="0" w:firstLine="480" w:firstLineChars="200"/>
        <w:jc w:val="both"/>
        <w:outlineLvl w:val="1"/>
        <w:rPr>
          <w:rFonts w:ascii="Times New Roman" w:hAnsi="Times New Roman" w:cs="Times New Roman"/>
          <w:color w:val="000000"/>
        </w:rPr>
      </w:pPr>
      <w:r>
        <w:rPr>
          <w:rFonts w:hint="eastAsia" w:ascii="Times New Roman" w:hAnsi="Times New Roman" w:cs="Times New Roman"/>
          <w:b w:val="0"/>
          <w:bCs w:val="0"/>
          <w:color w:val="000000"/>
        </w:rPr>
        <w:t>8月21日，</w:t>
      </w:r>
      <w:r>
        <w:rPr>
          <w:rFonts w:hint="eastAsia" w:ascii="Times New Roman" w:hAnsi="Times New Roman" w:cs="Times New Roman"/>
          <w:color w:val="000000"/>
        </w:rPr>
        <w:t>北交所发布</w:t>
      </w:r>
      <w:r>
        <w:rPr>
          <w:rFonts w:hint="eastAsia" w:ascii="Times New Roman" w:hAnsi="Times New Roman" w:cs="Times New Roman"/>
          <w:color w:val="000000"/>
          <w:lang w:eastAsia="zh-CN"/>
        </w:rPr>
        <w:t>《</w:t>
      </w:r>
      <w:r>
        <w:rPr>
          <w:rFonts w:hint="eastAsia" w:ascii="Times New Roman" w:hAnsi="Times New Roman" w:cs="Times New Roman"/>
          <w:color w:val="000000"/>
        </w:rPr>
        <w:t>关于实施</w:t>
      </w:r>
      <w:r>
        <w:rPr>
          <w:rFonts w:hint="eastAsia" w:ascii="Times New Roman" w:hAnsi="Times New Roman" w:cs="Times New Roman"/>
          <w:color w:val="000000"/>
          <w:lang w:val="en-US" w:eastAsia="zh-CN"/>
        </w:rPr>
        <w:t>&lt;</w:t>
      </w:r>
      <w:r>
        <w:rPr>
          <w:rFonts w:hint="eastAsia" w:ascii="Times New Roman" w:hAnsi="Times New Roman" w:cs="Times New Roman"/>
          <w:color w:val="000000"/>
        </w:rPr>
        <w:t>北京证券交易所交易规则</w:t>
      </w:r>
      <w:r>
        <w:rPr>
          <w:rFonts w:hint="eastAsia" w:ascii="Times New Roman" w:hAnsi="Times New Roman" w:cs="Times New Roman"/>
          <w:color w:val="000000"/>
          <w:lang w:val="en-US" w:eastAsia="zh-CN"/>
        </w:rPr>
        <w:t>&gt;</w:t>
      </w:r>
      <w:r>
        <w:rPr>
          <w:rFonts w:hint="eastAsia" w:ascii="Times New Roman" w:hAnsi="Times New Roman" w:cs="Times New Roman"/>
          <w:color w:val="000000"/>
        </w:rPr>
        <w:t>相关条款的公告</w:t>
      </w:r>
      <w:r>
        <w:rPr>
          <w:rFonts w:hint="eastAsia" w:ascii="Times New Roman" w:hAnsi="Times New Roman" w:cs="Times New Roman"/>
          <w:color w:val="000000"/>
          <w:lang w:eastAsia="zh-CN"/>
        </w:rPr>
        <w:t>》（北证公告〔2026〕34号）</w:t>
      </w:r>
      <w:r>
        <w:rPr>
          <w:rFonts w:hint="eastAsia" w:ascii="Times New Roman" w:hAnsi="Times New Roman" w:cs="Times New Roman"/>
          <w:color w:val="000000"/>
        </w:rPr>
        <w:t>，北交所于</w:t>
      </w:r>
      <w:r>
        <w:rPr>
          <w:rFonts w:hint="eastAsia" w:ascii="Times New Roman" w:hAnsi="Times New Roman" w:cs="Times New Roman"/>
          <w:color w:val="000000"/>
          <w:lang w:val="en-US" w:eastAsia="zh-CN"/>
        </w:rPr>
        <w:t>2026年</w:t>
      </w:r>
      <w:r>
        <w:rPr>
          <w:rFonts w:ascii="Times New Roman" w:hAnsi="Times New Roman" w:cs="Times New Roman"/>
          <w:color w:val="000000"/>
        </w:rPr>
        <w:t>4月24日发布的《北京证券交易所交易规则》中，第4.5.1条至第4.5.4条关于风险警示股票及退市整理股票交易事项的规定，自2026年8月31日起正式实施。</w:t>
      </w:r>
    </w:p>
    <w:p w14:paraId="0656649B">
      <w:pPr>
        <w:pStyle w:val="8"/>
        <w:numPr>
          <w:ilvl w:val="0"/>
          <w:numId w:val="4"/>
        </w:numPr>
        <w:shd w:val="clear" w:color="auto" w:fill="FFFFFF"/>
        <w:tabs>
          <w:tab w:val="left" w:pos="426"/>
        </w:tabs>
        <w:adjustRightInd w:val="0"/>
        <w:snapToGrid w:val="0"/>
        <w:spacing w:after="156" w:afterLines="50" w:line="360" w:lineRule="auto"/>
        <w:ind w:left="0" w:firstLine="480" w:firstLineChars="200"/>
        <w:jc w:val="both"/>
        <w:outlineLvl w:val="1"/>
        <w:rPr>
          <w:rFonts w:ascii="Times New Roman" w:hAnsi="Times New Roman" w:cs="Times New Roman"/>
          <w:color w:val="000000"/>
        </w:rPr>
      </w:pPr>
      <w:r>
        <w:rPr>
          <w:rFonts w:ascii="Times New Roman" w:hAnsi="Times New Roman" w:cs="Times New Roman"/>
          <w:color w:val="000000"/>
        </w:rPr>
        <w:t>8月28日</w:t>
      </w:r>
      <w:r>
        <w:rPr>
          <w:rFonts w:hint="eastAsia" w:ascii="Times New Roman" w:hAnsi="Times New Roman" w:cs="Times New Roman"/>
          <w:color w:val="000000"/>
        </w:rPr>
        <w:t>，</w:t>
      </w:r>
      <w:r>
        <w:rPr>
          <w:rFonts w:ascii="Times New Roman" w:hAnsi="Times New Roman" w:cs="Times New Roman"/>
          <w:color w:val="000000"/>
        </w:rPr>
        <w:t>国家金融监督管理总局对外发布《商品住房开发贷款管理办法（试行）》《个人住房贷款管理办法（试行）》《商业地产贷款管理办法（试行）》《城市更新项目贷款管理办法（试行）》《信托公司开展房地产领域信托业务管理办法（试行）》，全面落实房地产发展新模式各项要求，指导银行业金融机构按市场化、法治化原则做好房地产金融服务，实现对房地产全周期金融支持。</w:t>
      </w:r>
      <w:bookmarkStart w:id="2" w:name="_GoBack"/>
      <w:bookmarkEnd w:id="2"/>
    </w:p>
    <w:p w14:paraId="0D0BE2AB">
      <w:pPr>
        <w:pStyle w:val="8"/>
        <w:numPr>
          <w:ilvl w:val="0"/>
          <w:numId w:val="4"/>
        </w:numPr>
        <w:shd w:val="clear" w:color="auto" w:fill="FFFFFF"/>
        <w:tabs>
          <w:tab w:val="left" w:pos="426"/>
        </w:tabs>
        <w:adjustRightInd w:val="0"/>
        <w:snapToGrid w:val="0"/>
        <w:spacing w:after="156" w:afterLines="50" w:line="360" w:lineRule="auto"/>
        <w:ind w:left="0" w:firstLine="480" w:firstLineChars="200"/>
        <w:jc w:val="both"/>
        <w:outlineLvl w:val="1"/>
        <w:rPr>
          <w:rFonts w:ascii="Times New Roman" w:hAnsi="Times New Roman" w:cs="宋体"/>
          <w:color w:val="auto"/>
        </w:rPr>
      </w:pPr>
      <w:r>
        <w:rPr>
          <w:rFonts w:hint="eastAsia" w:ascii="Times New Roman" w:hAnsi="Times New Roman" w:cs="Times New Roman"/>
          <w:b w:val="0"/>
          <w:bCs w:val="0"/>
          <w:color w:val="000000"/>
        </w:rPr>
        <w:t>8月28日，</w:t>
      </w:r>
      <w:r>
        <w:rPr>
          <w:rFonts w:hint="eastAsia" w:ascii="Times New Roman" w:hAnsi="Times New Roman" w:cs="Times New Roman"/>
          <w:color w:val="000000"/>
        </w:rPr>
        <w:t>中国证监会发布《关于资本市场支持构建房地产发展新模式的意见》</w:t>
      </w:r>
      <w:r>
        <w:rPr>
          <w:rFonts w:hint="eastAsia" w:ascii="Times New Roman" w:hAnsi="Times New Roman" w:eastAsia="宋体" w:cs="Times New Roman"/>
          <w:color w:val="000000"/>
          <w:shd w:val="clear" w:color="auto" w:fill="auto"/>
        </w:rPr>
        <w:t>（以下简称《意见》）</w:t>
      </w:r>
      <w:r>
        <w:rPr>
          <w:rFonts w:ascii="Times New Roman" w:hAnsi="Times New Roman" w:cs="Times New Roman"/>
          <w:color w:val="000000"/>
        </w:rPr>
        <w:t>。</w:t>
      </w:r>
    </w:p>
    <w:p w14:paraId="490C70E1">
      <w:pPr>
        <w:pStyle w:val="8"/>
        <w:numPr>
          <w:ilvl w:val="255"/>
          <w:numId w:val="0"/>
        </w:numPr>
        <w:shd w:val="clear" w:color="auto" w:fill="FFFFFF"/>
        <w:tabs>
          <w:tab w:val="left" w:pos="426"/>
        </w:tabs>
        <w:adjustRightInd w:val="0"/>
        <w:snapToGrid w:val="0"/>
        <w:spacing w:after="156" w:afterLines="50" w:line="360" w:lineRule="auto"/>
        <w:ind w:firstLine="480" w:firstLineChars="200"/>
        <w:jc w:val="both"/>
        <w:outlineLvl w:val="1"/>
        <w:rPr>
          <w:rFonts w:ascii="Times New Roman" w:hAnsi="Times New Roman" w:cs="Times New Roman"/>
          <w:color w:val="000000"/>
        </w:rPr>
      </w:pPr>
      <w:r>
        <w:rPr>
          <w:rFonts w:hint="eastAsia" w:ascii="Times New Roman" w:hAnsi="Times New Roman" w:cs="Times New Roman"/>
          <w:color w:val="000000"/>
        </w:rPr>
        <w:t>《意见》共四部分十二条意见，主要包括以下内容：</w:t>
      </w:r>
      <w:r>
        <w:rPr>
          <w:rFonts w:hint="eastAsia" w:ascii="Times New Roman" w:hAnsi="Times New Roman" w:cs="Times New Roman"/>
          <w:b/>
          <w:bCs/>
          <w:color w:val="000000"/>
        </w:rPr>
        <w:t>一是</w:t>
      </w:r>
      <w:r>
        <w:rPr>
          <w:rFonts w:hint="eastAsia" w:ascii="Times New Roman" w:hAnsi="Times New Roman" w:cs="Times New Roman"/>
          <w:color w:val="000000"/>
        </w:rPr>
        <w:t>总体要求。改革房地产开发融资方式，推动从依赖主体信用向基于项目情况转变，一视同仁满足不同所有制房地产开发企业合理融资需求。强化房地产领域准入、信息披露、资金监管，稳妥防范化解处置房地产相关风险，促进房地产高质量发展。</w:t>
      </w:r>
      <w:r>
        <w:rPr>
          <w:rFonts w:hint="eastAsia" w:ascii="Times New Roman" w:hAnsi="Times New Roman" w:cs="Times New Roman"/>
          <w:b/>
          <w:bCs/>
          <w:color w:val="000000"/>
        </w:rPr>
        <w:t>二是</w:t>
      </w:r>
      <w:r>
        <w:rPr>
          <w:rFonts w:hint="eastAsia" w:ascii="Times New Roman" w:hAnsi="Times New Roman" w:cs="Times New Roman"/>
          <w:color w:val="000000"/>
        </w:rPr>
        <w:t>支持合理融资。支持上市房地产开发企业再融资以及综合运用发行股份、定向可转债、现金等工具收购涉房资产。加大债券融资支持力度，支持房地产开发企业发行公司债券用于符合政策要求的房地产项目，鼓励发行商业地产抵押贷款支持证券（CMBS）、不动产资产支持证券（ABS）。支持依托符合条件的租赁住房、城市更新等项目发行不动产投资信托基金（REITs）或作为REITs扩募资产，稳慎推进商业不动产REITs发展。支持符合规定的私募基金管理人设立不动产私募投资基金。</w:t>
      </w:r>
      <w:r>
        <w:rPr>
          <w:rFonts w:hint="eastAsia" w:ascii="Times New Roman" w:hAnsi="Times New Roman" w:cs="Times New Roman"/>
          <w:b/>
          <w:bCs/>
          <w:color w:val="000000"/>
        </w:rPr>
        <w:t>三是</w:t>
      </w:r>
      <w:r>
        <w:rPr>
          <w:rFonts w:hint="eastAsia" w:ascii="Times New Roman" w:hAnsi="Times New Roman" w:cs="Times New Roman"/>
          <w:color w:val="000000"/>
        </w:rPr>
        <w:t>优化监管。优化对房地产开发企业发行证券的准入监管，突出“基于项目”融资特点；优化信息披露监管，重点关注执行会计准则情况；严格募集资金持续监管和穿透式监管；严防严打发行人欺诈发行、信息披露造假、挪用募集资金等违法违规行为，加大对系统性、团伙性造假的惩戒力度。</w:t>
      </w:r>
      <w:r>
        <w:rPr>
          <w:rFonts w:hint="eastAsia" w:ascii="Times New Roman" w:hAnsi="Times New Roman" w:cs="Times New Roman"/>
          <w:b/>
          <w:bCs/>
          <w:color w:val="000000"/>
        </w:rPr>
        <w:t>四是</w:t>
      </w:r>
      <w:r>
        <w:rPr>
          <w:rFonts w:hint="eastAsia" w:ascii="Times New Roman" w:hAnsi="Times New Roman" w:cs="Times New Roman"/>
          <w:color w:val="000000"/>
        </w:rPr>
        <w:t>防范化解风险。落实“四早”要求，建立健全房地产领域涉资本市场风险预研预判机制，加强股债基监管联动。平稳有序做好上市房地产开发企业退市监管，畅通多元化退市渠道。配合地方政府推动房地产违约债券处置出清，丰富多元化房地产债券风险处置机制。</w:t>
      </w:r>
    </w:p>
    <w:p w14:paraId="65D8ACAD">
      <w:pPr>
        <w:pStyle w:val="8"/>
        <w:numPr>
          <w:ilvl w:val="0"/>
          <w:numId w:val="4"/>
        </w:numPr>
        <w:shd w:val="clear" w:color="auto" w:fill="FFFFFF"/>
        <w:tabs>
          <w:tab w:val="left" w:pos="426"/>
        </w:tabs>
        <w:adjustRightInd w:val="0"/>
        <w:snapToGrid w:val="0"/>
        <w:spacing w:after="156" w:afterLines="50" w:line="360" w:lineRule="auto"/>
        <w:ind w:left="0" w:firstLine="480" w:firstLineChars="200"/>
        <w:jc w:val="both"/>
        <w:outlineLvl w:val="1"/>
        <w:rPr>
          <w:rFonts w:hint="eastAsia" w:ascii="Times New Roman" w:hAnsi="Times New Roman"/>
        </w:rPr>
      </w:pPr>
      <w:r>
        <w:rPr>
          <w:rFonts w:hint="eastAsia" w:ascii="Times New Roman" w:hAnsi="Times New Roman" w:cs="Times New Roman"/>
          <w:color w:val="000000"/>
        </w:rPr>
        <w:t>8月28日，</w:t>
      </w:r>
      <w:r>
        <w:rPr>
          <w:rFonts w:ascii="Times New Roman" w:hAnsi="Times New Roman" w:cs="Times New Roman"/>
          <w:color w:val="000000"/>
        </w:rPr>
        <w:t>财政部</w:t>
      </w:r>
      <w:r>
        <w:rPr>
          <w:rFonts w:hint="eastAsia" w:ascii="Times New Roman" w:hAnsi="Times New Roman" w:cs="Times New Roman"/>
          <w:color w:val="000000"/>
        </w:rPr>
        <w:t>、</w:t>
      </w:r>
      <w:r>
        <w:rPr>
          <w:rFonts w:ascii="Times New Roman" w:hAnsi="Times New Roman" w:cs="Times New Roman"/>
          <w:color w:val="000000"/>
        </w:rPr>
        <w:t>税务总局</w:t>
      </w:r>
      <w:r>
        <w:rPr>
          <w:rFonts w:hint="eastAsia" w:ascii="Times New Roman" w:hAnsi="Times New Roman" w:cs="Times New Roman"/>
          <w:color w:val="000000"/>
        </w:rPr>
        <w:t>、</w:t>
      </w:r>
      <w:r>
        <w:rPr>
          <w:rFonts w:ascii="Times New Roman" w:hAnsi="Times New Roman" w:cs="Times New Roman"/>
          <w:color w:val="000000"/>
        </w:rPr>
        <w:t>中国证监会</w:t>
      </w:r>
      <w:r>
        <w:rPr>
          <w:rFonts w:hint="eastAsia" w:ascii="Times New Roman" w:hAnsi="Times New Roman" w:cs="Times New Roman"/>
          <w:color w:val="000000"/>
        </w:rPr>
        <w:t>发布《</w:t>
      </w:r>
      <w:r>
        <w:rPr>
          <w:rFonts w:ascii="Times New Roman" w:hAnsi="Times New Roman" w:cs="Times New Roman"/>
          <w:color w:val="000000"/>
        </w:rPr>
        <w:t>关于规范转让上市公司限售股个人所得税政策的公告</w:t>
      </w:r>
      <w:r>
        <w:rPr>
          <w:rFonts w:hint="eastAsia" w:ascii="Times New Roman" w:hAnsi="Times New Roman" w:cs="Times New Roman"/>
          <w:color w:val="000000"/>
        </w:rPr>
        <w:t>》（</w:t>
      </w:r>
      <w:r>
        <w:rPr>
          <w:rFonts w:ascii="Times New Roman" w:hAnsi="Times New Roman" w:cs="Times New Roman"/>
          <w:color w:val="000000"/>
        </w:rPr>
        <w:t>财政部 税务总局 中国证监会公告2026年第26号</w:t>
      </w:r>
      <w:r>
        <w:rPr>
          <w:rFonts w:hint="eastAsia" w:ascii="Times New Roman" w:hAnsi="Times New Roman" w:cs="Times New Roman"/>
          <w:color w:val="000000"/>
          <w:lang w:eastAsia="zh-CN"/>
        </w:rPr>
        <w:t>，</w:t>
      </w:r>
      <w:r>
        <w:rPr>
          <w:rFonts w:hint="eastAsia" w:ascii="Times New Roman" w:hAnsi="Times New Roman" w:cs="Times New Roman"/>
          <w:color w:val="000000"/>
          <w:lang w:val="en-US" w:eastAsia="zh-CN"/>
        </w:rPr>
        <w:t>以下简称《公告》</w:t>
      </w:r>
      <w:r>
        <w:rPr>
          <w:rFonts w:hint="eastAsia" w:ascii="Times New Roman" w:hAnsi="Times New Roman" w:cs="Times New Roman"/>
          <w:color w:val="000000"/>
        </w:rPr>
        <w:t>），</w:t>
      </w:r>
      <w:r>
        <w:rPr>
          <w:rFonts w:ascii="Times New Roman" w:hAnsi="Times New Roman" w:cs="Times New Roman"/>
          <w:color w:val="000000"/>
        </w:rPr>
        <w:t>自公布之日起实施。</w:t>
      </w:r>
    </w:p>
    <w:p w14:paraId="45CF9A4C">
      <w:pPr>
        <w:pStyle w:val="8"/>
        <w:numPr>
          <w:ilvl w:val="255"/>
          <w:numId w:val="0"/>
        </w:numPr>
        <w:shd w:val="clear" w:color="auto" w:fill="FFFFFF"/>
        <w:tabs>
          <w:tab w:val="left" w:pos="426"/>
        </w:tabs>
        <w:adjustRightInd w:val="0"/>
        <w:snapToGrid w:val="0"/>
        <w:spacing w:after="156" w:afterLines="50" w:line="360" w:lineRule="auto"/>
        <w:ind w:left="0" w:firstLine="480" w:firstLineChars="200"/>
        <w:jc w:val="both"/>
        <w:outlineLvl w:val="1"/>
        <w:rPr>
          <w:rFonts w:hint="eastAsia" w:ascii="Times New Roman" w:hAnsi="Times New Roman" w:eastAsia="宋体" w:cs="Times New Roman"/>
          <w:color w:val="000000"/>
          <w:lang w:eastAsia="zh-CN"/>
        </w:rPr>
      </w:pPr>
      <w:r>
        <w:rPr>
          <w:rFonts w:hint="eastAsia" w:ascii="Times New Roman" w:hAnsi="Times New Roman" w:cs="Times New Roman"/>
          <w:color w:val="000000"/>
          <w:lang w:eastAsia="zh-CN"/>
        </w:rPr>
        <w:t>《</w:t>
      </w:r>
      <w:r>
        <w:rPr>
          <w:rFonts w:hint="eastAsia" w:ascii="Times New Roman" w:hAnsi="Times New Roman" w:cs="Times New Roman"/>
          <w:color w:val="000000"/>
        </w:rPr>
        <w:t>公告</w:t>
      </w:r>
      <w:r>
        <w:rPr>
          <w:rFonts w:hint="eastAsia" w:ascii="Times New Roman" w:hAnsi="Times New Roman" w:cs="Times New Roman"/>
          <w:color w:val="000000"/>
          <w:lang w:eastAsia="zh-CN"/>
        </w:rPr>
        <w:t>》</w:t>
      </w:r>
      <w:r>
        <w:rPr>
          <w:rFonts w:hint="eastAsia" w:ascii="Times New Roman" w:hAnsi="Times New Roman" w:cs="Times New Roman"/>
          <w:color w:val="000000"/>
        </w:rPr>
        <w:t>明确</w:t>
      </w:r>
      <w:r>
        <w:rPr>
          <w:rFonts w:ascii="Times New Roman" w:hAnsi="Times New Roman" w:cs="Times New Roman"/>
          <w:color w:val="000000"/>
        </w:rPr>
        <w:t>个人转让上市公司限售股取得的所得，按照“财产转让所得”，适用20%税率缴纳个人所得税，其中包括限售股在解禁日后孳生且在</w:t>
      </w:r>
      <w:r>
        <w:rPr>
          <w:rFonts w:hint="eastAsia" w:ascii="Times New Roman" w:hAnsi="Times New Roman" w:cs="Times New Roman"/>
          <w:color w:val="000000"/>
          <w:lang w:eastAsia="zh-CN"/>
        </w:rPr>
        <w:t>《</w:t>
      </w:r>
      <w:r>
        <w:rPr>
          <w:rFonts w:hint="eastAsia" w:ascii="Times New Roman" w:hAnsi="Times New Roman" w:cs="Times New Roman"/>
          <w:color w:val="000000"/>
        </w:rPr>
        <w:t>公告</w:t>
      </w:r>
      <w:r>
        <w:rPr>
          <w:rFonts w:hint="eastAsia" w:ascii="Times New Roman" w:hAnsi="Times New Roman" w:cs="Times New Roman"/>
          <w:color w:val="000000"/>
          <w:lang w:eastAsia="zh-CN"/>
        </w:rPr>
        <w:t>》</w:t>
      </w:r>
      <w:r>
        <w:rPr>
          <w:rFonts w:ascii="Times New Roman" w:hAnsi="Times New Roman" w:cs="Times New Roman"/>
          <w:color w:val="000000"/>
        </w:rPr>
        <w:t>实施后办理股权登记的送、转股。</w:t>
      </w:r>
      <w:r>
        <w:rPr>
          <w:rFonts w:hint="eastAsia" w:ascii="Times New Roman" w:hAnsi="Times New Roman" w:cs="Times New Roman"/>
          <w:color w:val="000000"/>
        </w:rPr>
        <w:t>个人转让全国中小企业股份转让系统挂牌公司、北京证券交易所上市公司原始股缴纳个人所得税，依照</w:t>
      </w:r>
      <w:r>
        <w:rPr>
          <w:rFonts w:hint="eastAsia" w:ascii="Times New Roman" w:hAnsi="Times New Roman" w:cs="Times New Roman"/>
          <w:color w:val="000000"/>
          <w:lang w:eastAsia="zh-CN"/>
        </w:rPr>
        <w:t>《</w:t>
      </w:r>
      <w:r>
        <w:rPr>
          <w:rFonts w:hint="eastAsia" w:ascii="Times New Roman" w:hAnsi="Times New Roman" w:cs="Times New Roman"/>
          <w:color w:val="000000"/>
        </w:rPr>
        <w:t>公告</w:t>
      </w:r>
      <w:r>
        <w:rPr>
          <w:rFonts w:hint="eastAsia" w:ascii="Times New Roman" w:hAnsi="Times New Roman" w:cs="Times New Roman"/>
          <w:color w:val="000000"/>
          <w:lang w:eastAsia="zh-CN"/>
        </w:rPr>
        <w:t>》</w:t>
      </w:r>
      <w:r>
        <w:rPr>
          <w:rFonts w:hint="eastAsia" w:ascii="Times New Roman" w:hAnsi="Times New Roman" w:cs="Times New Roman"/>
          <w:color w:val="000000"/>
        </w:rPr>
        <w:t>规定执行</w:t>
      </w:r>
      <w:r>
        <w:rPr>
          <w:rFonts w:hint="eastAsia" w:ascii="Times New Roman" w:hAnsi="Times New Roman" w:cs="Times New Roman"/>
          <w:color w:val="000000"/>
          <w:lang w:eastAsia="zh-CN"/>
        </w:rPr>
        <w:t>。</w:t>
      </w:r>
    </w:p>
    <w:p w14:paraId="7D5339EE">
      <w:pPr>
        <w:tabs>
          <w:tab w:val="left" w:pos="0"/>
          <w:tab w:val="left" w:pos="840"/>
        </w:tabs>
        <w:spacing w:before="156" w:beforeLines="50" w:after="156" w:afterLines="50"/>
        <w:rPr>
          <w:rFonts w:ascii="Times New Roman" w:hAnsi="Times New Roman" w:eastAsia="黑体"/>
          <w:b/>
          <w:color w:val="FFFFFF"/>
          <w:sz w:val="32"/>
          <w:szCs w:val="32"/>
          <w:highlight w:val="blue"/>
          <w:shd w:val="clear" w:color="FFFFFF" w:fill="D9D9D9"/>
        </w:rPr>
      </w:pPr>
      <w:r>
        <w:rPr>
          <w:rFonts w:ascii="Times New Roman" w:hAnsi="Times New Roman" w:eastAsia="黑体"/>
          <w:b/>
          <w:color w:val="FFFFFF"/>
          <w:sz w:val="32"/>
          <w:szCs w:val="32"/>
          <w:highlight w:val="blue"/>
          <w:shd w:val="clear" w:color="FFFFFF" w:fill="D9D9D9"/>
        </w:rPr>
        <w:t>市场要闻</w:t>
      </w:r>
    </w:p>
    <w:p w14:paraId="2CFF9A59">
      <w:pPr>
        <w:numPr>
          <w:ilvl w:val="0"/>
          <w:numId w:val="4"/>
        </w:numPr>
        <w:tabs>
          <w:tab w:val="left" w:pos="0"/>
          <w:tab w:val="left" w:pos="840"/>
        </w:tabs>
        <w:spacing w:after="156" w:afterLines="50" w:line="360" w:lineRule="auto"/>
        <w:ind w:left="0" w:firstLine="420" w:firstLineChars="0"/>
        <w:jc w:val="both"/>
        <w:rPr>
          <w:rFonts w:ascii="Times New Roman" w:hAnsi="Times New Roman" w:cs="Times New Roman"/>
          <w:b/>
          <w:bCs/>
          <w:color w:val="000000"/>
        </w:rPr>
      </w:pPr>
      <w:r>
        <w:rPr>
          <w:rFonts w:hint="eastAsia" w:ascii="Times New Roman" w:hAnsi="Times New Roman"/>
          <w:b/>
          <w:bCs/>
        </w:rPr>
        <w:t>沪深交易所就</w:t>
      </w:r>
      <w:r>
        <w:rPr>
          <w:rFonts w:ascii="Times New Roman" w:hAnsi="Times New Roman" w:cs="Times New Roman"/>
          <w:b/>
          <w:bCs/>
          <w:color w:val="000000"/>
        </w:rPr>
        <w:t>完善上市开放式基金相关安排公开征求意见</w:t>
      </w:r>
    </w:p>
    <w:p w14:paraId="64D1107C">
      <w:pPr>
        <w:numPr>
          <w:ilvl w:val="255"/>
          <w:numId w:val="0"/>
        </w:numPr>
        <w:tabs>
          <w:tab w:val="left" w:pos="0"/>
          <w:tab w:val="left" w:pos="840"/>
        </w:tabs>
        <w:spacing w:after="156" w:afterLines="50" w:line="360" w:lineRule="auto"/>
        <w:ind w:firstLine="480" w:firstLineChars="200"/>
        <w:jc w:val="both"/>
        <w:rPr>
          <w:rFonts w:ascii="Times New Roman" w:hAnsi="Times New Roman" w:cs="Times New Roman"/>
          <w:color w:val="000000"/>
        </w:rPr>
      </w:pPr>
      <w:r>
        <w:rPr>
          <w:rFonts w:hint="eastAsia" w:ascii="Times New Roman" w:hAnsi="Times New Roman" w:cs="Times New Roman"/>
          <w:color w:val="000000"/>
        </w:rPr>
        <w:t>8月7日，沪深交易所同步发布</w:t>
      </w:r>
      <w:r>
        <w:rPr>
          <w:rFonts w:hint="eastAsia" w:ascii="Times New Roman" w:hAnsi="Times New Roman" w:eastAsia="宋体" w:cs="Times New Roman"/>
          <w:i w:val="0"/>
          <w:iCs w:val="0"/>
          <w:caps w:val="0"/>
          <w:color w:val="000000"/>
          <w:spacing w:val="0"/>
          <w:sz w:val="24"/>
          <w:szCs w:val="24"/>
        </w:rPr>
        <w:t>《关于就完善上市开放式基金相关安排的通知</w:t>
      </w:r>
      <w:r>
        <w:rPr>
          <w:rFonts w:hint="eastAsia" w:ascii="Times New Roman" w:hAnsi="Times New Roman" w:cs="Times New Roman"/>
          <w:i w:val="0"/>
          <w:iCs w:val="0"/>
          <w:caps w:val="0"/>
          <w:color w:val="000000"/>
          <w:spacing w:val="0"/>
          <w:sz w:val="24"/>
          <w:szCs w:val="24"/>
          <w:lang w:eastAsia="zh-CN"/>
        </w:rPr>
        <w:t>（</w:t>
      </w:r>
      <w:r>
        <w:rPr>
          <w:rFonts w:hint="eastAsia" w:ascii="Times New Roman" w:hAnsi="Times New Roman" w:cs="Times New Roman"/>
          <w:i w:val="0"/>
          <w:iCs w:val="0"/>
          <w:caps w:val="0"/>
          <w:color w:val="000000"/>
          <w:spacing w:val="0"/>
          <w:sz w:val="24"/>
          <w:szCs w:val="24"/>
          <w:lang w:val="en-US" w:eastAsia="zh-CN"/>
        </w:rPr>
        <w:t>征求意见稿</w:t>
      </w:r>
      <w:r>
        <w:rPr>
          <w:rFonts w:hint="eastAsia" w:ascii="Times New Roman" w:hAnsi="Times New Roman" w:cs="Times New Roman"/>
          <w:i w:val="0"/>
          <w:iCs w:val="0"/>
          <w:caps w:val="0"/>
          <w:color w:val="000000"/>
          <w:spacing w:val="0"/>
          <w:sz w:val="24"/>
          <w:szCs w:val="24"/>
          <w:lang w:eastAsia="zh-CN"/>
        </w:rPr>
        <w:t>）</w:t>
      </w:r>
      <w:r>
        <w:rPr>
          <w:rFonts w:hint="eastAsia" w:ascii="Times New Roman" w:hAnsi="Times New Roman" w:eastAsia="宋体" w:cs="Times New Roman"/>
          <w:i w:val="0"/>
          <w:iCs w:val="0"/>
          <w:caps w:val="0"/>
          <w:color w:val="000000"/>
          <w:spacing w:val="0"/>
          <w:sz w:val="24"/>
          <w:szCs w:val="24"/>
        </w:rPr>
        <w:t>》</w:t>
      </w:r>
      <w:r>
        <w:rPr>
          <w:rFonts w:hint="eastAsia" w:ascii="Times New Roman" w:hAnsi="Times New Roman" w:cs="Times New Roman"/>
          <w:i w:val="0"/>
          <w:iCs w:val="0"/>
          <w:caps w:val="0"/>
          <w:color w:val="000000"/>
          <w:spacing w:val="0"/>
          <w:sz w:val="24"/>
          <w:szCs w:val="24"/>
          <w:lang w:eastAsia="zh-CN"/>
        </w:rPr>
        <w:t>（</w:t>
      </w:r>
      <w:r>
        <w:rPr>
          <w:rFonts w:hint="eastAsia" w:ascii="Times New Roman" w:hAnsi="Times New Roman" w:cs="Times New Roman"/>
          <w:i w:val="0"/>
          <w:iCs w:val="0"/>
          <w:caps w:val="0"/>
          <w:color w:val="000000"/>
          <w:spacing w:val="0"/>
          <w:sz w:val="24"/>
          <w:szCs w:val="24"/>
          <w:lang w:val="en-US" w:eastAsia="zh-CN"/>
        </w:rPr>
        <w:t>以下简称《通知》</w:t>
      </w:r>
      <w:r>
        <w:rPr>
          <w:rFonts w:hint="eastAsia" w:ascii="Times New Roman" w:hAnsi="Times New Roman" w:cs="Times New Roman"/>
          <w:i w:val="0"/>
          <w:iCs w:val="0"/>
          <w:caps w:val="0"/>
          <w:color w:val="000000"/>
          <w:spacing w:val="0"/>
          <w:sz w:val="24"/>
          <w:szCs w:val="24"/>
          <w:lang w:eastAsia="zh-CN"/>
        </w:rPr>
        <w:t>）</w:t>
      </w:r>
      <w:r>
        <w:rPr>
          <w:rFonts w:hint="eastAsia" w:ascii="Times New Roman" w:hAnsi="Times New Roman" w:cs="Times New Roman"/>
          <w:color w:val="000000"/>
        </w:rPr>
        <w:t>。</w:t>
      </w:r>
      <w:r>
        <w:rPr>
          <w:rFonts w:hint="eastAsia" w:ascii="Times New Roman" w:hAnsi="Times New Roman" w:cs="Times New Roman"/>
          <w:color w:val="000000"/>
          <w:lang w:eastAsia="zh-CN"/>
        </w:rPr>
        <w:t>《</w:t>
      </w:r>
      <w:r>
        <w:rPr>
          <w:rFonts w:hint="eastAsia" w:ascii="Times New Roman" w:hAnsi="Times New Roman" w:cs="Times New Roman"/>
          <w:color w:val="000000"/>
          <w:lang w:val="en-US" w:eastAsia="zh-CN"/>
        </w:rPr>
        <w:t>通知</w:t>
      </w:r>
      <w:r>
        <w:rPr>
          <w:rFonts w:hint="eastAsia" w:ascii="Times New Roman" w:hAnsi="Times New Roman" w:cs="Times New Roman"/>
          <w:color w:val="000000"/>
          <w:lang w:eastAsia="zh-CN"/>
        </w:rPr>
        <w:t>》</w:t>
      </w:r>
      <w:r>
        <w:rPr>
          <w:rFonts w:hint="eastAsia" w:ascii="Times New Roman" w:hAnsi="Times New Roman"/>
        </w:rPr>
        <w:t>主要包括以下内容</w:t>
      </w:r>
      <w:r>
        <w:rPr>
          <w:rFonts w:hint="eastAsia" w:ascii="Times New Roman" w:hAnsi="Times New Roman" w:cs="Times New Roman"/>
          <w:color w:val="000000"/>
        </w:rPr>
        <w:t>：</w:t>
      </w:r>
      <w:r>
        <w:rPr>
          <w:rFonts w:hint="eastAsia" w:ascii="Times New Roman" w:hAnsi="Times New Roman" w:cs="Times New Roman"/>
          <w:b/>
          <w:bCs/>
          <w:color w:val="000000"/>
        </w:rPr>
        <w:t>一是</w:t>
      </w:r>
      <w:r>
        <w:rPr>
          <w:rFonts w:hint="eastAsia" w:ascii="Times New Roman" w:hAnsi="Times New Roman" w:cs="Times New Roman"/>
          <w:color w:val="000000"/>
        </w:rPr>
        <w:t>明确</w:t>
      </w:r>
      <w:r>
        <w:rPr>
          <w:rFonts w:ascii="Times New Roman" w:hAnsi="Times New Roman" w:cs="Times New Roman"/>
          <w:color w:val="000000"/>
        </w:rPr>
        <w:t>商品期货LOF</w:t>
      </w:r>
      <w:r>
        <w:rPr>
          <w:rFonts w:hint="eastAsia" w:ascii="Times New Roman" w:hAnsi="Times New Roman" w:cs="Times New Roman"/>
          <w:color w:val="000000"/>
        </w:rPr>
        <w:t>、QDII LOF应当终止上市，并设置过渡期安排；</w:t>
      </w:r>
      <w:r>
        <w:rPr>
          <w:rFonts w:hint="eastAsia" w:ascii="Times New Roman" w:hAnsi="Times New Roman" w:cs="Times New Roman"/>
          <w:b/>
          <w:bCs/>
          <w:color w:val="000000"/>
        </w:rPr>
        <w:t>二是</w:t>
      </w:r>
      <w:r>
        <w:rPr>
          <w:rFonts w:hint="eastAsia" w:ascii="Times New Roman" w:hAnsi="Times New Roman" w:cs="Times New Roman"/>
          <w:color w:val="000000"/>
        </w:rPr>
        <w:t>明确连续60个交易日场内资产净值低于1,000万元的LOF应当终止上市；</w:t>
      </w:r>
      <w:r>
        <w:rPr>
          <w:rFonts w:hint="eastAsia" w:ascii="Times New Roman" w:hAnsi="Times New Roman" w:cs="Times New Roman"/>
          <w:b/>
          <w:bCs/>
          <w:color w:val="000000"/>
        </w:rPr>
        <w:t>三是</w:t>
      </w:r>
      <w:r>
        <w:rPr>
          <w:rFonts w:hint="eastAsia" w:ascii="Times New Roman" w:hAnsi="Times New Roman" w:cs="Times New Roman"/>
          <w:color w:val="000000"/>
        </w:rPr>
        <w:t>明确终止上市程序；</w:t>
      </w:r>
      <w:r>
        <w:rPr>
          <w:rFonts w:hint="eastAsia" w:ascii="Times New Roman" w:hAnsi="Times New Roman" w:cs="Times New Roman"/>
          <w:b/>
          <w:bCs/>
          <w:color w:val="000000"/>
        </w:rPr>
        <w:t>四是</w:t>
      </w:r>
      <w:r>
        <w:rPr>
          <w:rFonts w:hint="eastAsia" w:ascii="Times New Roman" w:hAnsi="Times New Roman" w:cs="Times New Roman"/>
          <w:color w:val="000000"/>
        </w:rPr>
        <w:t>加强风险提示。</w:t>
      </w:r>
    </w:p>
    <w:p w14:paraId="75964F8F">
      <w:pPr>
        <w:numPr>
          <w:ilvl w:val="0"/>
          <w:numId w:val="4"/>
        </w:numPr>
        <w:tabs>
          <w:tab w:val="left" w:pos="0"/>
          <w:tab w:val="left" w:pos="840"/>
        </w:tabs>
        <w:spacing w:after="156" w:afterLines="50" w:line="360" w:lineRule="auto"/>
        <w:ind w:left="0" w:firstLine="420"/>
        <w:jc w:val="both"/>
        <w:rPr>
          <w:rFonts w:ascii="Times New Roman" w:hAnsi="Times New Roman"/>
          <w:b/>
          <w:bCs/>
        </w:rPr>
      </w:pPr>
      <w:r>
        <w:rPr>
          <w:rFonts w:ascii="Times New Roman" w:hAnsi="Times New Roman" w:cs="Times New Roman"/>
          <w:b/>
          <w:bCs/>
          <w:color w:val="000000"/>
        </w:rPr>
        <w:t>中国证监会发布上市公司</w:t>
      </w:r>
      <w:r>
        <w:rPr>
          <w:rFonts w:ascii="Times New Roman" w:hAnsi="Times New Roman"/>
          <w:b/>
          <w:bCs/>
        </w:rPr>
        <w:t>2025年年度财务报告会计监管报告</w:t>
      </w:r>
    </w:p>
    <w:p w14:paraId="504F3441">
      <w:pPr>
        <w:numPr>
          <w:ilvl w:val="255"/>
          <w:numId w:val="0"/>
        </w:numPr>
        <w:tabs>
          <w:tab w:val="left" w:pos="0"/>
          <w:tab w:val="left" w:pos="840"/>
        </w:tabs>
        <w:spacing w:after="156" w:afterLines="50" w:line="360" w:lineRule="auto"/>
        <w:ind w:firstLine="480" w:firstLineChars="200"/>
        <w:jc w:val="both"/>
        <w:rPr>
          <w:rFonts w:ascii="Times New Roman" w:hAnsi="Times New Roman" w:cs="Times New Roman"/>
          <w:color w:val="000000"/>
        </w:rPr>
      </w:pPr>
      <w:r>
        <w:rPr>
          <w:rFonts w:hint="eastAsia" w:ascii="Times New Roman" w:hAnsi="Times New Roman" w:cs="Times New Roman"/>
          <w:b w:val="0"/>
          <w:bCs w:val="0"/>
          <w:color w:val="000000"/>
        </w:rPr>
        <w:t>8月14日，</w:t>
      </w:r>
      <w:r>
        <w:rPr>
          <w:rFonts w:ascii="Times New Roman" w:hAnsi="Times New Roman" w:cs="Times New Roman"/>
          <w:color w:val="000000"/>
        </w:rPr>
        <w:t>中国证监会发布《上市公司2025年年度财务报告会计监管报告》</w:t>
      </w:r>
      <w:r>
        <w:rPr>
          <w:rFonts w:hint="eastAsia" w:ascii="Times New Roman" w:hAnsi="Times New Roman" w:cs="Times New Roman"/>
          <w:color w:val="000000"/>
          <w:szCs w:val="27"/>
        </w:rPr>
        <w:t>（以下简称《报告》）</w:t>
      </w:r>
      <w:r>
        <w:rPr>
          <w:rFonts w:hint="eastAsia" w:ascii="Times New Roman" w:hAnsi="Times New Roman" w:cs="Times New Roman"/>
          <w:color w:val="000000"/>
        </w:rPr>
        <w:t>。</w:t>
      </w:r>
      <w:r>
        <w:rPr>
          <w:rFonts w:ascii="Times New Roman" w:hAnsi="Times New Roman" w:cs="Times New Roman"/>
          <w:color w:val="000000"/>
        </w:rPr>
        <w:t>截至2026年4月30日，共5,517家上市公司披露了2025年年度财务报告，其中主板3,201家、创业板1,397家、科创板608家、北交所311家。按期披露年度财务报告的上市公司中，214家被出具非标准审计意见，其中被出具带强调事项段或持续经营事项段的无保留意见109家，保留意见87家，无法表示意见18家。中国证监会组织专门力量抽样审阅了上市公司2025年年度财务报告，在此基础上形成了《报告》。总体而言，上市公司能够较好地理解并执行企业会计准则和财务信息披露规则，但仍有部分上市公司在收入、金融工具、长期股权投资与企业合并、资产减值、研发支出等方面，存在会计处理或财务信息披露错误。</w:t>
      </w:r>
    </w:p>
    <w:p w14:paraId="63AD3209">
      <w:pPr>
        <w:numPr>
          <w:ilvl w:val="0"/>
          <w:numId w:val="4"/>
        </w:numPr>
        <w:tabs>
          <w:tab w:val="left" w:pos="0"/>
          <w:tab w:val="left" w:pos="840"/>
        </w:tabs>
        <w:spacing w:after="156" w:afterLines="50" w:line="360" w:lineRule="auto"/>
        <w:ind w:left="0" w:firstLine="420"/>
        <w:jc w:val="both"/>
        <w:rPr>
          <w:rFonts w:ascii="Times New Roman" w:hAnsi="Times New Roman"/>
          <w:b/>
          <w:bCs/>
        </w:rPr>
      </w:pPr>
      <w:r>
        <w:rPr>
          <w:rFonts w:hint="eastAsia" w:ascii="Times New Roman" w:hAnsi="Times New Roman"/>
          <w:b/>
          <w:bCs/>
        </w:rPr>
        <w:t>上海金融法院发布司法保障意见及典型案例</w:t>
      </w:r>
    </w:p>
    <w:p w14:paraId="79DB4CE8">
      <w:pPr>
        <w:numPr>
          <w:ilvl w:val="255"/>
          <w:numId w:val="0"/>
        </w:numPr>
        <w:tabs>
          <w:tab w:val="left" w:pos="0"/>
          <w:tab w:val="left" w:pos="840"/>
        </w:tabs>
        <w:spacing w:after="156" w:afterLines="50" w:line="360" w:lineRule="auto"/>
        <w:ind w:left="0" w:firstLine="480" w:firstLineChars="200"/>
        <w:jc w:val="both"/>
        <w:rPr>
          <w:rFonts w:hint="eastAsia" w:ascii="Times New Roman" w:hAnsi="Times New Roman" w:cs="Times New Roman"/>
          <w:b w:val="0"/>
          <w:bCs w:val="0"/>
          <w:color w:val="000000"/>
        </w:rPr>
      </w:pPr>
      <w:r>
        <w:rPr>
          <w:rFonts w:ascii="Times New Roman" w:hAnsi="Times New Roman" w:cs="Times New Roman"/>
          <w:color w:val="000000"/>
        </w:rPr>
        <w:t>8月20日，上海金融法院召开新闻发布会，发布《关于增强上海国际金融中心竞争力和影响力的司法保障意见》（以下简称《意见》）及涉外、涉港澳台金融纠纷典型案例</w:t>
      </w:r>
      <w:r>
        <w:rPr>
          <w:rFonts w:hint="eastAsia" w:ascii="Times New Roman" w:hAnsi="Times New Roman" w:cs="Times New Roman"/>
          <w:color w:val="000000"/>
        </w:rPr>
        <w:t>。</w:t>
      </w:r>
      <w:r>
        <w:rPr>
          <w:rFonts w:ascii="Times New Roman" w:hAnsi="Times New Roman" w:cs="Times New Roman"/>
          <w:color w:val="000000"/>
        </w:rPr>
        <w:t>《意见》</w:t>
      </w:r>
      <w:r>
        <w:rPr>
          <w:rFonts w:hint="eastAsia" w:ascii="Times New Roman" w:hAnsi="Times New Roman" w:cs="Times New Roman"/>
          <w:color w:val="000000"/>
        </w:rPr>
        <w:t>聚焦重点领域的实体法律问题解决方案，明确金融裁判规则和司法态度，并从案件管辖、审理、执行环节全方位提升涉外审判能级，为中外当事人提供公正、高效、便捷、可预期的金融司法服务。此次发布的案例涵盖独立保函、跨境担保、跨境证券发行及开展跨境经营活动等典型跨境金融场景下的代表性法律问题，有准确适用国际条约和域外法律，依法尊重和保障当事人意思自治，展现新时代金融法官国际化、专业化、跨法域的审判能力的案例；有依法承认（认可）和执行域外法律文书，彰显公正开放包容司法立场的案例；有反映涉外金融案件中平等保护中外当事人合法权益、明确交易预期、优化法治化营商环境的案例。</w:t>
      </w:r>
    </w:p>
    <w:p w14:paraId="69CC842E">
      <w:pPr>
        <w:tabs>
          <w:tab w:val="left" w:pos="0"/>
          <w:tab w:val="left" w:pos="840"/>
        </w:tabs>
        <w:spacing w:before="156" w:beforeLines="50" w:after="156" w:afterLines="50"/>
        <w:rPr>
          <w:rFonts w:ascii="Times New Roman" w:hAnsi="Times New Roman" w:eastAsia="黑体"/>
          <w:b/>
          <w:color w:val="FFFFFF"/>
          <w:sz w:val="32"/>
          <w:szCs w:val="32"/>
          <w:highlight w:val="blue"/>
          <w:shd w:val="clear" w:color="FFFFFF" w:fill="D9D9D9"/>
        </w:rPr>
      </w:pPr>
      <w:r>
        <w:rPr>
          <w:rFonts w:hint="eastAsia" w:ascii="Times New Roman" w:hAnsi="Times New Roman" w:eastAsia="黑体"/>
          <w:b/>
          <w:color w:val="FFFFFF"/>
          <w:sz w:val="32"/>
          <w:szCs w:val="32"/>
          <w:highlight w:val="blue"/>
          <w:shd w:val="clear" w:color="FFFFFF" w:fill="D9D9D9"/>
        </w:rPr>
        <w:t>案例评析</w:t>
      </w:r>
    </w:p>
    <w:p w14:paraId="6FBA9E4A">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line="360" w:lineRule="auto"/>
        <w:ind w:left="0" w:firstLine="482" w:firstLineChars="200"/>
        <w:jc w:val="center"/>
        <w:textAlignment w:val="auto"/>
        <w:rPr>
          <w:rFonts w:hint="eastAsia" w:ascii="Times New Roman" w:hAnsi="Times New Roman" w:cs="Times New Roman"/>
          <w:b/>
          <w:bCs/>
          <w:color w:val="000000"/>
        </w:rPr>
      </w:pPr>
      <w:r>
        <w:rPr>
          <w:rFonts w:hint="eastAsia" w:ascii="Times New Roman" w:hAnsi="Times New Roman" w:cs="Times New Roman"/>
          <w:b/>
          <w:bCs/>
          <w:color w:val="000000"/>
        </w:rPr>
        <w:t>跨境证券虚假陈述责任纠纷主管与管辖认定</w:t>
      </w:r>
    </w:p>
    <w:p w14:paraId="7BE13FA1">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line="360" w:lineRule="auto"/>
        <w:ind w:left="0" w:firstLine="480" w:firstLineChars="200"/>
        <w:jc w:val="center"/>
        <w:textAlignment w:val="auto"/>
        <w:rPr>
          <w:rFonts w:ascii="Times New Roman" w:hAnsi="Times New Roman" w:cs="Times New Roman"/>
          <w:b w:val="0"/>
          <w:bCs w:val="0"/>
          <w:color w:val="000000"/>
        </w:rPr>
      </w:pPr>
      <w:r>
        <w:rPr>
          <w:rFonts w:hint="eastAsia" w:ascii="Times New Roman" w:hAnsi="Times New Roman" w:cs="Times New Roman"/>
          <w:b w:val="0"/>
          <w:bCs w:val="0"/>
          <w:color w:val="000000"/>
        </w:rPr>
        <w:t>——杨某某诉上海某集团股份有限公司证券虚假陈述责任纠纷案</w:t>
      </w:r>
    </w:p>
    <w:p w14:paraId="163EAB08">
      <w:pPr>
        <w:keepNext w:val="0"/>
        <w:keepLines w:val="0"/>
        <w:pageBreakBefore w:val="0"/>
        <w:widowControl/>
        <w:numPr>
          <w:ilvl w:val="0"/>
          <w:numId w:val="5"/>
        </w:numPr>
        <w:tabs>
          <w:tab w:val="left" w:pos="0"/>
          <w:tab w:val="left" w:pos="840"/>
        </w:tabs>
        <w:kinsoku/>
        <w:wordWrap/>
        <w:overflowPunct/>
        <w:topLinePunct w:val="0"/>
        <w:autoSpaceDE/>
        <w:autoSpaceDN/>
        <w:bidi w:val="0"/>
        <w:adjustRightInd/>
        <w:snapToGrid/>
        <w:spacing w:before="157" w:beforeLines="50" w:after="156" w:afterLines="50" w:line="360" w:lineRule="auto"/>
        <w:ind w:left="0" w:leftChars="0" w:firstLine="482" w:firstLineChars="0"/>
        <w:jc w:val="both"/>
        <w:textAlignment w:val="auto"/>
        <w:rPr>
          <w:rFonts w:hint="eastAsia" w:ascii="Times New Roman" w:hAnsi="Times New Roman" w:cs="Times New Roman"/>
          <w:b/>
          <w:bCs/>
          <w:color w:val="000000"/>
        </w:rPr>
      </w:pPr>
      <w:r>
        <w:rPr>
          <w:rFonts w:hint="eastAsia" w:ascii="Times New Roman" w:hAnsi="Times New Roman" w:cs="Times New Roman"/>
          <w:b/>
          <w:bCs/>
          <w:color w:val="000000"/>
        </w:rPr>
        <w:t>基本案情</w:t>
      </w:r>
    </w:p>
    <w:p w14:paraId="38F1D102">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被告上海某集团股份有限公司（以下简称上海某集团）系在上海证券交易所和香港联合交易所有限公司（以下简称香港联交所）挂牌上市的股份有限公司，原告杨某某系通过港股通交易上海某集团H股股票的投资者。</w:t>
      </w:r>
    </w:p>
    <w:p w14:paraId="7D8FA18F">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2005年4月上海某集团H股发行上市，发行时有效的监管规范就章程中争议解决条款作特殊规定。《关于股份有限公司境外募集股份及上市的特别规定》（2023年2月14日废止）第二十九条规定：“境外上市外资股股东与公司之间发生争议，依照公司章程规定的方式处理”。《到境外上市公司章程必备条款》（2023年2月14日废止）第一百六十三条规定：“……到香港上市的公司，应当将下列内容载入公司章程：（一）凡境外上市外资股股东与公司之间，境外上市外资股股东与公司董事、监事、经理或者其他高级管理人员之间，境外上市外资股股东与内资股股东之间，基于公司章程、《中华人民共和国公司法》及其他有关法律、行政法规所规定的权利义务发生的与公司事务有关的争议或者权利主张，有关当事人应当将此类争议或者权利主张提交仲裁解决。……”上海某集团依据前述监管规范规定，在香港联交所指定媒体上公开披露的章程（原章程）中约定“凡境外上市外资股股东与公司之间……基于公司章程、《中华人民共和国公司法》及其他有关法律、行政法规所规定的权利义务发生的与公司事务有关的争议或者权利主张，有关当事人应当将此类争议或者权利主张提交仲裁解决……”</w:t>
      </w:r>
    </w:p>
    <w:p w14:paraId="3DE1EBDE">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2023年2月，国务院废止《关于股份有限公司境外募集股份及上市的特别规定》《到境外上市公司章程必备条款》，证监会发布境外上市备案管理相关制度规则。2024年6月28日，上海某集团披露了经股东大会多数决修订后的公司章程，新章程中删除了前述仲裁条款。</w:t>
      </w:r>
    </w:p>
    <w:p w14:paraId="4110CA70">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原告认为上海某集团未及时披露预计经营业绩发生亏损或大幅变动，以及2020年年报存在虚假记载的行为构成虚假陈述，其因上海某集团所披露信息的信任购买其股票，但因上海某集团的虚假陈述行为而遭受损失，故提起诉讼要求上海某集团承担损害赔偿责任。原告主张虚假陈述行为实施日分别为2021年5月10日、2021年3月29日，更正日均为2021年5月30日，基准日均为2021年7月12日。原告于2021年3月28日持有上海某集团H股392,000股，2021年3月29日至2021年5月30日期间买入上海某集团H股444,000股，并持有至2024年6月28日。</w:t>
      </w:r>
    </w:p>
    <w:p w14:paraId="703D2722">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上海某集团对本案提出主管异议，认为案涉纠纷应根据原章程约定提交仲裁解决。</w:t>
      </w:r>
    </w:p>
    <w:p w14:paraId="011F6A76">
      <w:pPr>
        <w:keepNext w:val="0"/>
        <w:keepLines w:val="0"/>
        <w:pageBreakBefore w:val="0"/>
        <w:widowControl/>
        <w:numPr>
          <w:ilvl w:val="0"/>
          <w:numId w:val="5"/>
        </w:numPr>
        <w:tabs>
          <w:tab w:val="left" w:pos="0"/>
          <w:tab w:val="left" w:pos="840"/>
        </w:tabs>
        <w:kinsoku/>
        <w:wordWrap/>
        <w:overflowPunct/>
        <w:topLinePunct w:val="0"/>
        <w:autoSpaceDE/>
        <w:autoSpaceDN/>
        <w:bidi w:val="0"/>
        <w:adjustRightInd/>
        <w:snapToGrid/>
        <w:spacing w:after="156" w:afterLines="50" w:line="360" w:lineRule="auto"/>
        <w:ind w:left="0" w:leftChars="0" w:firstLine="482" w:firstLineChars="0"/>
        <w:jc w:val="both"/>
        <w:textAlignment w:val="auto"/>
        <w:rPr>
          <w:rFonts w:hint="eastAsia" w:ascii="Times New Roman" w:hAnsi="Times New Roman" w:cs="Times New Roman"/>
          <w:color w:val="000000"/>
        </w:rPr>
      </w:pPr>
      <w:r>
        <w:rPr>
          <w:rFonts w:hint="eastAsia" w:ascii="Times New Roman" w:hAnsi="Times New Roman" w:cs="Times New Roman"/>
          <w:b/>
          <w:bCs/>
          <w:color w:val="000000"/>
        </w:rPr>
        <w:t>裁判结果</w:t>
      </w:r>
    </w:p>
    <w:p w14:paraId="784C2ED8">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上海金融法院于2025年10月11日作出（2025）沪74民初2861号民事裁定：驳回被告上海某集团提出</w:t>
      </w:r>
      <w:r>
        <w:rPr>
          <w:rFonts w:hint="eastAsia" w:ascii="Times New Roman" w:hAnsi="Times New Roman" w:cs="Times New Roman"/>
          <w:color w:val="000000"/>
          <w:lang w:val="en-US" w:eastAsia="zh-CN"/>
        </w:rPr>
        <w:t>的</w:t>
      </w:r>
      <w:r>
        <w:rPr>
          <w:rFonts w:hint="eastAsia" w:ascii="Times New Roman" w:hAnsi="Times New Roman" w:cs="Times New Roman"/>
          <w:color w:val="000000"/>
        </w:rPr>
        <w:t>主管异议。裁定作出后，双方均未上诉，裁定现已生效。该案后经调解实质化解纠纷。</w:t>
      </w:r>
    </w:p>
    <w:p w14:paraId="011BF3B8">
      <w:pPr>
        <w:keepNext w:val="0"/>
        <w:keepLines w:val="0"/>
        <w:pageBreakBefore w:val="0"/>
        <w:widowControl/>
        <w:numPr>
          <w:ilvl w:val="0"/>
          <w:numId w:val="5"/>
        </w:numPr>
        <w:tabs>
          <w:tab w:val="left" w:pos="0"/>
          <w:tab w:val="left" w:pos="840"/>
        </w:tabs>
        <w:kinsoku/>
        <w:wordWrap/>
        <w:overflowPunct/>
        <w:topLinePunct w:val="0"/>
        <w:autoSpaceDE/>
        <w:autoSpaceDN/>
        <w:bidi w:val="0"/>
        <w:adjustRightInd/>
        <w:snapToGrid/>
        <w:spacing w:after="156" w:afterLines="50" w:line="360" w:lineRule="auto"/>
        <w:ind w:left="0" w:leftChars="0" w:firstLine="482" w:firstLineChars="0"/>
        <w:jc w:val="both"/>
        <w:textAlignment w:val="auto"/>
        <w:rPr>
          <w:rFonts w:hint="eastAsia" w:ascii="Times New Roman" w:hAnsi="Times New Roman" w:cs="Times New Roman"/>
          <w:b/>
          <w:bCs/>
          <w:color w:val="000000"/>
        </w:rPr>
      </w:pPr>
      <w:r>
        <w:rPr>
          <w:rFonts w:hint="eastAsia" w:ascii="Times New Roman" w:hAnsi="Times New Roman" w:cs="Times New Roman"/>
          <w:b/>
          <w:bCs/>
          <w:color w:val="000000"/>
        </w:rPr>
        <w:t>裁判理由</w:t>
      </w:r>
    </w:p>
    <w:p w14:paraId="3931590E">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本案的争议焦点主要有以下三个方面：第一，案涉争议是否属于原章程中仲裁条款约定的事项范围；第二，章程删除仲裁条款后，案涉争议是否应提交仲裁；第三，如本案由法院主管，管辖权如何确定。</w:t>
      </w:r>
    </w:p>
    <w:p w14:paraId="5BA4869D">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第一，案涉争议是否属于原章程中仲裁条款约定的事项范围，需结合章程纳入仲裁条款的背景，认定H股投资者是否具有股东身份以及案涉争议是否属于与公司事务有关的争议。根据《内地与香港股票市场交易互联互通机制若干规定》，投资者持有的港股，由中国结算在香港中央结算有限公司（以下简称香港结算）开立证券账户，代所有港股通投资者名义持有并存管于香港结算，并最终以香港中央结算（代理人）有限公司的名义出现在港股上市公司的股东名册中。虽然基于香港市场实施以间接持有方式为主的多级持有体系，原告持有的股份登记在名义持有人名下，但根据中国结算出具的证券持有记录，可以证明原告对于通过港股通交易的上海某集团H股享有证券权益，上海某集团亦认可原告的股东身份。原告基于上海某集团虚假陈述提起证券侵权诉讼，该请求权源于证券法律法规对投资者交易证券时知情权的保障，争议涉及公司信息披露等公司事务。投资者的相关证券交易行为，亦与股东权利密切相关。故案涉纠纷属于原章程中仲裁条款约定的事项范围。</w:t>
      </w:r>
    </w:p>
    <w:p w14:paraId="770E4C35">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第二，随着《关于股份有限公司境外募集股份及上市的特别规定》《到境外上市公司章程必备条款》的废止，上海某集团已于2024年6月28日经法定程序修订公司章程，删除了案涉仲裁条款，新章程对于上海某集团及其股东具有约束力。本案原告在章程修订前买入上海某集团H股并一直持有至章程修订后，受新章程约束，原告与上海某集团之间的案涉纠纷不再受原章程中仲裁条款约束，纠纷应由法院主管。</w:t>
      </w:r>
    </w:p>
    <w:p w14:paraId="3938D47F">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第三，关于本案的管辖，本案中涉及的上市公司同时发行A股与H股。内地投资者因交易境外发行H股产生损失引发了争议。根据《最高人民法院关于上海金融法院案件管辖的规定》相关规定，上海金融法院有权管辖在我国境外上市的境内公司侵害投资者合法权益的证券纠纷。此外，该上市公司住所地位于上海，上海金融法院行使管辖权亦具备便利条件。</w:t>
      </w:r>
    </w:p>
    <w:p w14:paraId="5132361D">
      <w:pPr>
        <w:keepNext w:val="0"/>
        <w:keepLines w:val="0"/>
        <w:pageBreakBefore w:val="0"/>
        <w:widowControl/>
        <w:numPr>
          <w:ilvl w:val="0"/>
          <w:numId w:val="5"/>
        </w:numPr>
        <w:tabs>
          <w:tab w:val="left" w:pos="0"/>
          <w:tab w:val="left" w:pos="840"/>
        </w:tabs>
        <w:kinsoku/>
        <w:wordWrap/>
        <w:overflowPunct/>
        <w:topLinePunct w:val="0"/>
        <w:autoSpaceDE/>
        <w:autoSpaceDN/>
        <w:bidi w:val="0"/>
        <w:adjustRightInd/>
        <w:snapToGrid/>
        <w:spacing w:after="156" w:afterLines="50" w:line="360" w:lineRule="auto"/>
        <w:ind w:left="0" w:leftChars="0" w:firstLine="482" w:firstLineChars="0"/>
        <w:jc w:val="both"/>
        <w:textAlignment w:val="auto"/>
        <w:rPr>
          <w:rFonts w:hint="eastAsia" w:ascii="Times New Roman" w:hAnsi="Times New Roman" w:cs="Times New Roman"/>
          <w:b/>
          <w:bCs/>
          <w:color w:val="000000"/>
        </w:rPr>
      </w:pPr>
      <w:r>
        <w:rPr>
          <w:rFonts w:hint="eastAsia" w:ascii="Times New Roman" w:hAnsi="Times New Roman" w:cs="Times New Roman"/>
          <w:b/>
          <w:bCs/>
          <w:color w:val="000000"/>
        </w:rPr>
        <w:t>裁判意义</w:t>
      </w:r>
    </w:p>
    <w:p w14:paraId="58C5EE35">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80" w:firstLineChars="200"/>
        <w:jc w:val="both"/>
        <w:textAlignment w:val="auto"/>
        <w:rPr>
          <w:rFonts w:hint="eastAsia" w:ascii="Times New Roman" w:hAnsi="Times New Roman" w:cs="Times New Roman"/>
          <w:color w:val="000000"/>
        </w:rPr>
      </w:pPr>
      <w:r>
        <w:rPr>
          <w:rFonts w:hint="eastAsia" w:ascii="Times New Roman" w:hAnsi="Times New Roman" w:cs="Times New Roman"/>
          <w:color w:val="000000"/>
        </w:rPr>
        <w:t>作为确定内地法院对于内地发行H股公司的证券欺诈诉讼在强制仲裁制度废除后具有管辖权的典型案例，该案在主管问题上积极响应监管规范的修改变迁，直面上市公司既有虚假陈述纠纷与章程修改争议解决条款产生的过渡期间法律适用难题，参酌比较法上就证券仲裁问题的学术与实务观点，尊重既往监管规范的运行，并为未来证券仲裁制度探索保留空间。该案还充分考虑A股H股基础设施安排架构差异认定股东身份，为未来进一步审理跨境证券虚假陈述责任纠纷案件进行有益的探索。</w:t>
      </w:r>
    </w:p>
    <w:p w14:paraId="5378575E">
      <w:pPr>
        <w:keepNext w:val="0"/>
        <w:keepLines w:val="0"/>
        <w:pageBreakBefore w:val="0"/>
        <w:widowControl/>
        <w:numPr>
          <w:ilvl w:val="255"/>
          <w:numId w:val="0"/>
        </w:numPr>
        <w:tabs>
          <w:tab w:val="left" w:pos="0"/>
          <w:tab w:val="left" w:pos="840"/>
        </w:tabs>
        <w:kinsoku/>
        <w:wordWrap/>
        <w:overflowPunct/>
        <w:topLinePunct w:val="0"/>
        <w:autoSpaceDE/>
        <w:autoSpaceDN/>
        <w:bidi w:val="0"/>
        <w:adjustRightInd/>
        <w:snapToGrid/>
        <w:spacing w:after="156" w:afterLines="50" w:line="360" w:lineRule="auto"/>
        <w:ind w:left="0" w:firstLine="420" w:firstLineChars="200"/>
        <w:jc w:val="both"/>
        <w:textAlignment w:val="auto"/>
        <w:rPr>
          <w:rFonts w:hint="eastAsia" w:ascii="Times New Roman" w:hAnsi="Times New Roman" w:eastAsia="宋体" w:cs="Times New Roman"/>
          <w:i/>
          <w:iCs/>
          <w:color w:val="000000"/>
          <w:sz w:val="21"/>
          <w:szCs w:val="21"/>
          <w:lang w:eastAsia="zh-CN"/>
        </w:rPr>
      </w:pPr>
      <w:r>
        <w:rPr>
          <w:rFonts w:hint="eastAsia" w:ascii="Times New Roman" w:hAnsi="Times New Roman" w:cs="Times New Roman"/>
          <w:i/>
          <w:iCs/>
          <w:color w:val="000000"/>
          <w:sz w:val="21"/>
          <w:szCs w:val="21"/>
          <w:lang w:eastAsia="zh-CN"/>
        </w:rPr>
        <w:t>——</w:t>
      </w:r>
      <w:r>
        <w:rPr>
          <w:rFonts w:hint="eastAsia" w:ascii="Times New Roman" w:hAnsi="Times New Roman" w:cs="Times New Roman"/>
          <w:i/>
          <w:iCs/>
          <w:color w:val="000000"/>
          <w:sz w:val="21"/>
          <w:szCs w:val="21"/>
          <w:lang w:val="en-US" w:eastAsia="zh-CN"/>
        </w:rPr>
        <w:t>上海金融法院</w:t>
      </w:r>
      <w:r>
        <w:rPr>
          <w:rFonts w:hint="eastAsia" w:ascii="Times New Roman" w:hAnsi="Times New Roman" w:cs="Times New Roman"/>
          <w:i/>
          <w:iCs/>
          <w:color w:val="000000"/>
          <w:sz w:val="21"/>
          <w:szCs w:val="21"/>
          <w:lang w:eastAsia="zh-CN"/>
        </w:rPr>
        <w:t>《</w:t>
      </w:r>
      <w:r>
        <w:rPr>
          <w:rFonts w:hint="eastAsia" w:ascii="Times New Roman" w:hAnsi="Times New Roman" w:cs="Times New Roman"/>
          <w:i/>
          <w:iCs/>
          <w:color w:val="000000"/>
          <w:sz w:val="21"/>
          <w:szCs w:val="21"/>
        </w:rPr>
        <w:t>典型案例 跨境证券虚假陈述责任纠纷主管与管辖认定——杨某某诉上海某集团股份有限公司证券虚假陈述责任纠纷案</w:t>
      </w:r>
      <w:r>
        <w:rPr>
          <w:rFonts w:hint="eastAsia" w:ascii="Times New Roman" w:hAnsi="Times New Roman" w:cs="Times New Roman"/>
          <w:i/>
          <w:iCs/>
          <w:color w:val="000000"/>
          <w:sz w:val="21"/>
          <w:szCs w:val="21"/>
          <w:lang w:eastAsia="zh-CN"/>
        </w:rPr>
        <w:t>》</w:t>
      </w:r>
    </w:p>
    <w:sectPr>
      <w:footerReference r:id="rId5" w:type="first"/>
      <w:footerReference r:id="rId4" w:type="default"/>
      <w:pgSz w:w="11906" w:h="16838"/>
      <w:pgMar w:top="1440" w:right="1417" w:bottom="1440" w:left="141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Black">
    <w:panose1 w:val="020B0A04020102020204"/>
    <w:charset w:val="00"/>
    <w:family w:val="swiss"/>
    <w:pitch w:val="default"/>
    <w:sig w:usb0="A00002AF" w:usb1="400078FB" w:usb2="00000000" w:usb3="00000000" w:csb0="6000009F" w:csb1="DFD70000"/>
  </w:font>
  <w:font w:name="Times New Roman Bold">
    <w:altName w:val="Times New Roman"/>
    <w:panose1 w:val="020B06040202020202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99CC9">
    <w:pPr>
      <w:pStyle w:val="7"/>
      <w:jc w:val="center"/>
      <w:rPr>
        <w:rFonts w:ascii="Times New Roman" w:hAnsi="Times New Roman"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3F2C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B9090">
    <w:pPr>
      <w:pStyle w:val="7"/>
      <w:rPr>
        <w:rFonts w:ascii="Times New Roman" w:hAnsi="Times New Roman" w:eastAsia="宋体"/>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9B71F3"/>
    <w:multiLevelType w:val="singleLevel"/>
    <w:tmpl w:val="D79B71F3"/>
    <w:lvl w:ilvl="0" w:tentative="0">
      <w:start w:val="1"/>
      <w:numFmt w:val="bullet"/>
      <w:lvlText w:val=""/>
      <w:lvlJc w:val="left"/>
      <w:pPr>
        <w:ind w:left="420" w:hanging="420"/>
      </w:pPr>
      <w:rPr>
        <w:rFonts w:hint="default" w:ascii="Wingdings" w:hAnsi="Wingdings"/>
      </w:rPr>
    </w:lvl>
  </w:abstractNum>
  <w:abstractNum w:abstractNumId="1">
    <w:nsid w:val="E7FF331B"/>
    <w:multiLevelType w:val="singleLevel"/>
    <w:tmpl w:val="E7FF331B"/>
    <w:lvl w:ilvl="0" w:tentative="0">
      <w:start w:val="1"/>
      <w:numFmt w:val="bullet"/>
      <w:lvlText w:val=""/>
      <w:lvlJc w:val="left"/>
      <w:pPr>
        <w:ind w:left="420" w:hanging="420"/>
      </w:pPr>
      <w:rPr>
        <w:rFonts w:hint="default" w:ascii="Wingdings" w:hAnsi="Wingdings"/>
      </w:rPr>
    </w:lvl>
  </w:abstractNum>
  <w:abstractNum w:abstractNumId="2">
    <w:nsid w:val="0000000D"/>
    <w:multiLevelType w:val="singleLevel"/>
    <w:tmpl w:val="0000000D"/>
    <w:lvl w:ilvl="0" w:tentative="0">
      <w:start w:val="1"/>
      <w:numFmt w:val="decimal"/>
      <w:suff w:val="nothing"/>
      <w:lvlText w:val="（%1）"/>
      <w:lvlJc w:val="left"/>
      <w:rPr>
        <w:rFonts w:hint="default"/>
        <w:b w:val="0"/>
        <w:bCs w:val="0"/>
        <w:sz w:val="24"/>
        <w:szCs w:val="24"/>
      </w:rPr>
    </w:lvl>
  </w:abstractNum>
  <w:abstractNum w:abstractNumId="3">
    <w:nsid w:val="7531B948"/>
    <w:multiLevelType w:val="singleLevel"/>
    <w:tmpl w:val="7531B948"/>
    <w:lvl w:ilvl="0" w:tentative="0">
      <w:start w:val="1"/>
      <w:numFmt w:val="bullet"/>
      <w:lvlText w:val=""/>
      <w:lvlJc w:val="left"/>
      <w:pPr>
        <w:ind w:left="420" w:hanging="420"/>
      </w:pPr>
      <w:rPr>
        <w:rFonts w:hint="default" w:ascii="Wingdings" w:hAnsi="Wingdings"/>
      </w:rPr>
    </w:lvl>
  </w:abstractNum>
  <w:abstractNum w:abstractNumId="4">
    <w:nsid w:val="775AB61F"/>
    <w:multiLevelType w:val="singleLevel"/>
    <w:tmpl w:val="775AB61F"/>
    <w:lvl w:ilvl="0" w:tentative="0">
      <w:start w:val="1"/>
      <w:numFmt w:val="bullet"/>
      <w:lvlText w:val=""/>
      <w:lvlJc w:val="left"/>
      <w:pPr>
        <w:ind w:left="420" w:hanging="42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EF740F6"/>
    <w:rsid w:val="000021EA"/>
    <w:rsid w:val="0002375F"/>
    <w:rsid w:val="00041AAE"/>
    <w:rsid w:val="0007198C"/>
    <w:rsid w:val="00087E14"/>
    <w:rsid w:val="000904F2"/>
    <w:rsid w:val="0009427A"/>
    <w:rsid w:val="000D1767"/>
    <w:rsid w:val="000E2747"/>
    <w:rsid w:val="000F340F"/>
    <w:rsid w:val="001517C6"/>
    <w:rsid w:val="001A5F00"/>
    <w:rsid w:val="001D1CD1"/>
    <w:rsid w:val="001E3B29"/>
    <w:rsid w:val="001F6DEE"/>
    <w:rsid w:val="00224C16"/>
    <w:rsid w:val="002250AA"/>
    <w:rsid w:val="0025187C"/>
    <w:rsid w:val="002A6F0B"/>
    <w:rsid w:val="002A78DF"/>
    <w:rsid w:val="002F7020"/>
    <w:rsid w:val="002F7045"/>
    <w:rsid w:val="00310910"/>
    <w:rsid w:val="0036745E"/>
    <w:rsid w:val="00383A3D"/>
    <w:rsid w:val="003D0896"/>
    <w:rsid w:val="003F6D85"/>
    <w:rsid w:val="00413374"/>
    <w:rsid w:val="00451915"/>
    <w:rsid w:val="004864C5"/>
    <w:rsid w:val="004B3C8E"/>
    <w:rsid w:val="004D5047"/>
    <w:rsid w:val="004F59F9"/>
    <w:rsid w:val="00515A69"/>
    <w:rsid w:val="005228A8"/>
    <w:rsid w:val="00565916"/>
    <w:rsid w:val="00573C0C"/>
    <w:rsid w:val="005A6DCD"/>
    <w:rsid w:val="00657F7C"/>
    <w:rsid w:val="0066007F"/>
    <w:rsid w:val="00753088"/>
    <w:rsid w:val="007B62D6"/>
    <w:rsid w:val="008600CB"/>
    <w:rsid w:val="0088154E"/>
    <w:rsid w:val="008F3593"/>
    <w:rsid w:val="008F5185"/>
    <w:rsid w:val="009609DD"/>
    <w:rsid w:val="009B5C27"/>
    <w:rsid w:val="00A15689"/>
    <w:rsid w:val="00AB1421"/>
    <w:rsid w:val="00AC6348"/>
    <w:rsid w:val="00AD3C1F"/>
    <w:rsid w:val="00AE03B6"/>
    <w:rsid w:val="00B17F77"/>
    <w:rsid w:val="00B971FD"/>
    <w:rsid w:val="00BD19BC"/>
    <w:rsid w:val="00C47536"/>
    <w:rsid w:val="00CC3285"/>
    <w:rsid w:val="00D46BE9"/>
    <w:rsid w:val="00E6093B"/>
    <w:rsid w:val="00E66F88"/>
    <w:rsid w:val="00EA7EBC"/>
    <w:rsid w:val="00EB161D"/>
    <w:rsid w:val="00F46829"/>
    <w:rsid w:val="00FE2DD8"/>
    <w:rsid w:val="016F0A91"/>
    <w:rsid w:val="01C817AA"/>
    <w:rsid w:val="025751E3"/>
    <w:rsid w:val="043B10FF"/>
    <w:rsid w:val="0B865355"/>
    <w:rsid w:val="106D0892"/>
    <w:rsid w:val="1ADA70F7"/>
    <w:rsid w:val="1DA17DCD"/>
    <w:rsid w:val="1E4C75DC"/>
    <w:rsid w:val="251A25EA"/>
    <w:rsid w:val="2A333BE2"/>
    <w:rsid w:val="2CAE2EFC"/>
    <w:rsid w:val="2F1743DB"/>
    <w:rsid w:val="2F7F0608"/>
    <w:rsid w:val="30984245"/>
    <w:rsid w:val="31877F6E"/>
    <w:rsid w:val="34CA1662"/>
    <w:rsid w:val="35B53A9E"/>
    <w:rsid w:val="36C50CA2"/>
    <w:rsid w:val="36E5561F"/>
    <w:rsid w:val="37E56DDC"/>
    <w:rsid w:val="39C24EFB"/>
    <w:rsid w:val="39DD32FF"/>
    <w:rsid w:val="40C916D7"/>
    <w:rsid w:val="422875CB"/>
    <w:rsid w:val="46072613"/>
    <w:rsid w:val="47FD500C"/>
    <w:rsid w:val="4A135047"/>
    <w:rsid w:val="4A5A11BC"/>
    <w:rsid w:val="4CC96874"/>
    <w:rsid w:val="4D102E74"/>
    <w:rsid w:val="52886B9F"/>
    <w:rsid w:val="560C77D2"/>
    <w:rsid w:val="57555BD4"/>
    <w:rsid w:val="5B934902"/>
    <w:rsid w:val="5BBF3F20"/>
    <w:rsid w:val="5DFF6C50"/>
    <w:rsid w:val="5FF70842"/>
    <w:rsid w:val="6DD3A3FC"/>
    <w:rsid w:val="6E082F0C"/>
    <w:rsid w:val="6F213E96"/>
    <w:rsid w:val="734E786F"/>
    <w:rsid w:val="75EA07A0"/>
    <w:rsid w:val="75F16AD3"/>
    <w:rsid w:val="77601ABD"/>
    <w:rsid w:val="77DF044B"/>
    <w:rsid w:val="77F7221C"/>
    <w:rsid w:val="791505C8"/>
    <w:rsid w:val="7919417F"/>
    <w:rsid w:val="7990257F"/>
    <w:rsid w:val="7A4939B6"/>
    <w:rsid w:val="7AA01C9C"/>
    <w:rsid w:val="7AF620FE"/>
    <w:rsid w:val="7B4927AB"/>
    <w:rsid w:val="7C484A74"/>
    <w:rsid w:val="7D891584"/>
    <w:rsid w:val="7D95CC2A"/>
    <w:rsid w:val="7DE7A8DD"/>
    <w:rsid w:val="7F1718EC"/>
    <w:rsid w:val="7F7BF484"/>
    <w:rsid w:val="7F7FFBC0"/>
    <w:rsid w:val="7FFF60AE"/>
    <w:rsid w:val="BEFFCEEB"/>
    <w:rsid w:val="CD5D9BE8"/>
    <w:rsid w:val="DFF7E3FF"/>
    <w:rsid w:val="E6FF4BA6"/>
    <w:rsid w:val="F7FD27D3"/>
    <w:rsid w:val="F9F381E8"/>
    <w:rsid w:val="FB734FC8"/>
    <w:rsid w:val="FEF740F6"/>
    <w:rsid w:val="FF5FD68F"/>
    <w:rsid w:val="FF7A107A"/>
    <w:rsid w:val="FFDF1880"/>
    <w:rsid w:val="FFF25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cs="Times New Roman"/>
      <w:b/>
      <w:bCs/>
      <w:kern w:val="44"/>
      <w:sz w:val="48"/>
      <w:szCs w:val="48"/>
    </w:rPr>
  </w:style>
  <w:style w:type="paragraph" w:styleId="3">
    <w:name w:val="heading 2"/>
    <w:basedOn w:val="1"/>
    <w:next w:val="1"/>
    <w:semiHidden/>
    <w:unhideWhenUsed/>
    <w:qFormat/>
    <w:uiPriority w:val="0"/>
    <w:pPr>
      <w:widowControl w:val="0"/>
      <w:spacing w:beforeAutospacing="1" w:afterAutospacing="1"/>
      <w:outlineLvl w:val="1"/>
    </w:pPr>
    <w:rPr>
      <w:rFonts w:hint="eastAsia" w:cs="Times New Roman"/>
      <w:b/>
      <w:bCs/>
      <w:color w:val="000000"/>
      <w:sz w:val="36"/>
      <w:szCs w:val="36"/>
    </w:rPr>
  </w:style>
  <w:style w:type="paragraph" w:styleId="4">
    <w:name w:val="heading 5"/>
    <w:basedOn w:val="1"/>
    <w:next w:val="1"/>
    <w:semiHidden/>
    <w:unhideWhenUsed/>
    <w:qFormat/>
    <w:uiPriority w:val="0"/>
    <w:pPr>
      <w:spacing w:beforeAutospacing="1" w:afterAutospacing="1"/>
      <w:outlineLvl w:val="4"/>
    </w:pPr>
    <w:rPr>
      <w:rFonts w:hint="eastAsia" w:cs="Times New Roman"/>
      <w:b/>
      <w:bCs/>
      <w:sz w:val="20"/>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7"/>
    <w:qFormat/>
    <w:uiPriority w:val="0"/>
    <w:pPr>
      <w:widowControl w:val="0"/>
    </w:pPr>
    <w:rPr>
      <w:rFonts w:ascii="楷体_GB2312" w:eastAsia="楷体_GB2312" w:cs="Times New Roman"/>
      <w:color w:val="000000"/>
      <w:kern w:val="2"/>
      <w:szCs w:val="27"/>
    </w:rPr>
  </w:style>
  <w:style w:type="paragraph" w:styleId="6">
    <w:name w:val="Body Text"/>
    <w:basedOn w:val="1"/>
    <w:qFormat/>
    <w:uiPriority w:val="0"/>
    <w:pPr>
      <w:widowControl w:val="0"/>
      <w:spacing w:after="120"/>
      <w:jc w:val="both"/>
    </w:pPr>
    <w:rPr>
      <w:rFonts w:ascii="楷体_GB2312" w:eastAsia="楷体_GB2312" w:cs="Times New Roman"/>
      <w:color w:val="000000"/>
      <w:kern w:val="2"/>
      <w:szCs w:val="27"/>
    </w:rPr>
  </w:style>
  <w:style w:type="paragraph" w:styleId="7">
    <w:name w:val="footer"/>
    <w:basedOn w:val="1"/>
    <w:qFormat/>
    <w:uiPriority w:val="0"/>
    <w:pPr>
      <w:widowControl w:val="0"/>
      <w:tabs>
        <w:tab w:val="center" w:pos="4153"/>
        <w:tab w:val="right" w:pos="8306"/>
      </w:tabs>
      <w:snapToGrid w:val="0"/>
    </w:pPr>
    <w:rPr>
      <w:rFonts w:ascii="楷体_GB2312" w:eastAsia="楷体_GB2312" w:cs="Times New Roman"/>
      <w:color w:val="000000"/>
      <w:kern w:val="2"/>
      <w:sz w:val="18"/>
      <w:szCs w:val="18"/>
    </w:rPr>
  </w:style>
  <w:style w:type="paragraph" w:styleId="8">
    <w:name w:val="Normal (Web)"/>
    <w:basedOn w:val="1"/>
    <w:qFormat/>
    <w:uiPriority w:val="99"/>
  </w:style>
  <w:style w:type="paragraph" w:styleId="9">
    <w:name w:val="annotation subject"/>
    <w:basedOn w:val="5"/>
    <w:next w:val="5"/>
    <w:link w:val="18"/>
    <w:qFormat/>
    <w:uiPriority w:val="0"/>
    <w:pPr>
      <w:widowControl/>
    </w:pPr>
    <w:rPr>
      <w:rFonts w:ascii="宋体" w:eastAsia="宋体" w:cs="宋体"/>
      <w:b/>
      <w:bCs/>
      <w:color w:val="auto"/>
      <w:kern w:val="0"/>
      <w:szCs w:val="24"/>
    </w:rPr>
  </w:style>
  <w:style w:type="character" w:styleId="12">
    <w:name w:val="Strong"/>
    <w:basedOn w:val="11"/>
    <w:qFormat/>
    <w:uiPriority w:val="0"/>
    <w:rPr>
      <w:b/>
    </w:rPr>
  </w:style>
  <w:style w:type="character" w:styleId="13">
    <w:name w:val="Hyperlink"/>
    <w:qFormat/>
    <w:uiPriority w:val="0"/>
    <w:rPr>
      <w:color w:val="0000FF"/>
      <w:u w:val="single"/>
    </w:rPr>
  </w:style>
  <w:style w:type="character" w:styleId="14">
    <w:name w:val="annotation reference"/>
    <w:basedOn w:val="11"/>
    <w:qFormat/>
    <w:uiPriority w:val="0"/>
    <w:rPr>
      <w:sz w:val="21"/>
      <w:szCs w:val="21"/>
    </w:rPr>
  </w:style>
  <w:style w:type="paragraph" w:customStyle="1" w:styleId="15">
    <w:name w:val="p1"/>
    <w:basedOn w:val="1"/>
    <w:qFormat/>
    <w:uiPriority w:val="0"/>
    <w:pPr>
      <w:widowControl w:val="0"/>
    </w:pPr>
    <w:rPr>
      <w:rFonts w:ascii="Times New Roman" w:hAnsi="Times New Roman" w:eastAsia="楷体_GB2312" w:cs="Times New Roman"/>
      <w:color w:val="000000"/>
    </w:rPr>
  </w:style>
  <w:style w:type="paragraph" w:customStyle="1" w:styleId="16">
    <w:name w:val="修订1"/>
    <w:hidden/>
    <w:unhideWhenUsed/>
    <w:qFormat/>
    <w:uiPriority w:val="99"/>
    <w:rPr>
      <w:rFonts w:ascii="楷体_GB2312" w:hAnsi="宋体" w:eastAsia="楷体_GB2312" w:cs="Times New Roman"/>
      <w:color w:val="000000"/>
      <w:kern w:val="2"/>
      <w:sz w:val="24"/>
      <w:szCs w:val="27"/>
      <w:lang w:val="en-US" w:eastAsia="zh-CN" w:bidi="ar-SA"/>
    </w:rPr>
  </w:style>
  <w:style w:type="character" w:customStyle="1" w:styleId="17">
    <w:name w:val="批注文字 字符"/>
    <w:basedOn w:val="11"/>
    <w:link w:val="5"/>
    <w:qFormat/>
    <w:uiPriority w:val="0"/>
    <w:rPr>
      <w:rFonts w:ascii="楷体_GB2312" w:hAnsi="宋体" w:eastAsia="楷体_GB2312"/>
      <w:color w:val="000000"/>
      <w:kern w:val="2"/>
      <w:sz w:val="24"/>
      <w:szCs w:val="27"/>
    </w:rPr>
  </w:style>
  <w:style w:type="character" w:customStyle="1" w:styleId="18">
    <w:name w:val="批注主题 字符"/>
    <w:basedOn w:val="17"/>
    <w:link w:val="9"/>
    <w:qFormat/>
    <w:uiPriority w:val="0"/>
    <w:rPr>
      <w:rFonts w:ascii="宋体" w:hAnsi="宋体" w:eastAsia="楷体_GB2312" w:cs="宋体"/>
      <w:b/>
      <w:bCs/>
      <w:color w:val="000000"/>
      <w:kern w:val="2"/>
      <w:sz w:val="24"/>
      <w:szCs w:val="24"/>
    </w:rPr>
  </w:style>
  <w:style w:type="paragraph" w:styleId="19">
    <w:name w:val="List Paragraph"/>
    <w:basedOn w:val="1"/>
    <w:unhideWhenUsed/>
    <w:qFormat/>
    <w:uiPriority w:val="99"/>
    <w:pPr>
      <w:ind w:firstLine="420" w:firstLineChars="200"/>
    </w:pPr>
  </w:style>
  <w:style w:type="character" w:customStyle="1" w:styleId="20">
    <w:name w:val="font21"/>
    <w:basedOn w:val="11"/>
    <w:qFormat/>
    <w:uiPriority w:val="0"/>
    <w:rPr>
      <w:rFonts w:hint="default" w:ascii="微软雅黑" w:hAnsi="微软雅黑" w:eastAsia="微软雅黑" w:cs="微软雅黑"/>
      <w:color w:val="0091C9"/>
      <w:sz w:val="19"/>
      <w:szCs w:val="19"/>
      <w:u w:val="none"/>
    </w:rPr>
  </w:style>
  <w:style w:type="paragraph" w:customStyle="1" w:styleId="21">
    <w:name w:val="Revision"/>
    <w:hidden/>
    <w:unhideWhenUsed/>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6123</Words>
  <Characters>7327</Characters>
  <Lines>61</Lines>
  <Paragraphs>17</Paragraphs>
  <TotalTime>19</TotalTime>
  <ScaleCrop>false</ScaleCrop>
  <LinksUpToDate>false</LinksUpToDate>
  <CharactersWithSpaces>7353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2026-09-07T09:48:00Z</dcterms:created>
  <dc:creator>周一琳</dc:creator>
  <cp:lastModifiedBy>Panxl</cp:lastModifiedBy>
  <dcterms:modified xsi:type="dcterms:W3CDTF">2026-09-08T01:32:57Z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A140C6D756324C4198F9E818FD62F6EA_13</vt:lpwstr>
  </property>
  <property fmtid="{D5CDD505-2E9C-101B-9397-08002B2CF9AE}" pid="4" name="KSOTemplateDocerSaveRecord">
    <vt:lpwstr>eyJoZGlkIjoiOTE5NzM4ZWMwZTYyYmU1Y2I3ZTAyNzBhNzI0YTc2ZjkiLCJ1c2VySWQiOiIyNDE2MDI5MTkifQ==</vt:lpwstr>
  </property>
</Properties>
</file>