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1420B">
      <w:pPr>
        <w:pStyle w:val="11"/>
        <w:rPr>
          <w:rFonts w:hint="default"/>
        </w:rPr>
      </w:pPr>
      <w:r>
        <w:t xml:space="preserve"> </w:t>
      </w:r>
    </w:p>
    <w:p w14:paraId="1F7F63F5">
      <w:pPr>
        <w:pStyle w:val="12"/>
        <w:adjustRightInd w:val="0"/>
        <w:snapToGrid w:val="0"/>
        <w:ind w:left="142"/>
        <w:jc w:val="center"/>
        <w:rPr>
          <w:rFonts w:ascii="黑体" w:hAnsi="黑体" w:eastAsia="黑体"/>
          <w:bCs/>
          <w:color w:val="011893"/>
          <w:sz w:val="52"/>
          <w:szCs w:val="52"/>
        </w:rPr>
      </w:pPr>
    </w:p>
    <w:p w14:paraId="752A7E2D">
      <w:pPr>
        <w:pStyle w:val="12"/>
        <w:adjustRightInd w:val="0"/>
        <w:snapToGrid w:val="0"/>
        <w:ind w:left="142"/>
        <w:jc w:val="center"/>
        <w:rPr>
          <w:rFonts w:ascii="黑体" w:hAnsi="黑体" w:eastAsia="黑体"/>
          <w:bCs/>
          <w:color w:val="011893"/>
          <w:sz w:val="52"/>
          <w:szCs w:val="52"/>
        </w:rPr>
      </w:pPr>
    </w:p>
    <w:p w14:paraId="7A3782D3">
      <w:pPr>
        <w:pStyle w:val="12"/>
        <w:adjustRightInd w:val="0"/>
        <w:snapToGrid w:val="0"/>
        <w:ind w:left="142"/>
        <w:jc w:val="center"/>
        <w:rPr>
          <w:rFonts w:ascii="黑体" w:hAnsi="黑体" w:eastAsia="黑体"/>
          <w:bCs/>
          <w:color w:val="011893"/>
          <w:sz w:val="52"/>
          <w:szCs w:val="52"/>
        </w:rPr>
      </w:pPr>
    </w:p>
    <w:p w14:paraId="3EA2C9DF">
      <w:pPr>
        <w:pStyle w:val="12"/>
        <w:adjustRightInd w:val="0"/>
        <w:snapToGrid w:val="0"/>
        <w:ind w:left="142"/>
        <w:jc w:val="center"/>
        <w:rPr>
          <w:rFonts w:ascii="黑体" w:hAnsi="黑体" w:eastAsia="黑体"/>
          <w:bCs/>
          <w:color w:val="011893"/>
          <w:sz w:val="52"/>
          <w:szCs w:val="52"/>
        </w:rPr>
      </w:pPr>
      <w:r>
        <w:rPr>
          <w:rFonts w:ascii="黑体" w:hAnsi="黑体" w:eastAsia="黑体"/>
          <w:bCs/>
          <w:color w:val="011893"/>
          <w:sz w:val="52"/>
          <w:szCs w:val="52"/>
        </w:rPr>
        <w:t>大连市律师协会公司法律专业委员会</w:t>
      </w:r>
    </w:p>
    <w:p w14:paraId="0627352D">
      <w:pPr>
        <w:adjustRightInd w:val="0"/>
        <w:snapToGrid w:val="0"/>
        <w:ind w:firstLine="590" w:firstLineChars="200"/>
        <w:jc w:val="center"/>
        <w:rPr>
          <w:rFonts w:ascii="黑体" w:hAnsi="黑体" w:eastAsia="黑体" w:cs="黑体"/>
          <w:b/>
          <w:bCs/>
          <w:color w:val="333399"/>
          <w:spacing w:val="-3"/>
          <w:kern w:val="2"/>
          <w:sz w:val="30"/>
          <w:szCs w:val="30"/>
          <w:lang w:eastAsia="zh-CN"/>
        </w:rPr>
      </w:pPr>
    </w:p>
    <w:p w14:paraId="292FA590">
      <w:pPr>
        <w:spacing w:before="98"/>
        <w:ind w:firstLine="600" w:firstLineChars="200"/>
        <w:rPr>
          <w:rFonts w:ascii="黑体" w:hAnsi="黑体" w:eastAsia="黑体" w:cs="黑体"/>
          <w:kern w:val="2"/>
          <w:sz w:val="30"/>
          <w:szCs w:val="30"/>
          <w:lang w:eastAsia="zh-CN"/>
        </w:rPr>
      </w:pPr>
    </w:p>
    <w:p w14:paraId="23EF5138">
      <w:pPr>
        <w:spacing w:before="120" w:beforeLines="50" w:after="120" w:afterLines="50" w:line="360" w:lineRule="auto"/>
        <w:jc w:val="center"/>
        <w:rPr>
          <w:rFonts w:ascii="宋体" w:hAnsi="宋体" w:cs="黑体"/>
          <w:b/>
          <w:bCs/>
          <w:color w:val="FF0000"/>
          <w:kern w:val="2"/>
          <w:sz w:val="52"/>
          <w:szCs w:val="52"/>
          <w:lang w:eastAsia="zh-CN"/>
        </w:rPr>
      </w:pPr>
      <w:r>
        <w:rPr>
          <w:rFonts w:hint="eastAsia" w:ascii="宋体" w:hAnsi="宋体" w:cs="黑体"/>
          <w:b/>
          <w:bCs/>
          <w:color w:val="FF0000"/>
          <w:kern w:val="2"/>
          <w:sz w:val="52"/>
          <w:szCs w:val="52"/>
          <w:lang w:eastAsia="zh-CN"/>
        </w:rPr>
        <w:t>公司法律信息速递</w:t>
      </w:r>
    </w:p>
    <w:p w14:paraId="2F0B84E5">
      <w:pPr>
        <w:spacing w:before="120" w:beforeLines="50" w:after="120" w:afterLines="50" w:line="360" w:lineRule="auto"/>
        <w:ind w:firstLine="602" w:firstLineChars="200"/>
        <w:jc w:val="center"/>
        <w:rPr>
          <w:rFonts w:ascii="宋体" w:hAnsi="宋体" w:cs="黑体"/>
          <w:b/>
          <w:bCs/>
          <w:color w:val="FF0000"/>
          <w:kern w:val="2"/>
          <w:sz w:val="30"/>
          <w:szCs w:val="30"/>
          <w:lang w:eastAsia="zh-CN"/>
        </w:rPr>
      </w:pPr>
    </w:p>
    <w:p w14:paraId="67F61DD4">
      <w:pPr>
        <w:spacing w:before="120" w:beforeLines="50" w:after="120" w:afterLines="50" w:line="360" w:lineRule="auto"/>
        <w:ind w:firstLine="562" w:firstLineChars="200"/>
        <w:jc w:val="center"/>
        <w:rPr>
          <w:rFonts w:ascii="宋体" w:hAnsi="宋体" w:cs="黑体"/>
          <w:b/>
          <w:bCs/>
          <w:kern w:val="2"/>
          <w:sz w:val="28"/>
          <w:szCs w:val="28"/>
          <w:lang w:eastAsia="zh-CN"/>
        </w:rPr>
      </w:pPr>
      <w:r>
        <w:rPr>
          <w:rFonts w:hint="eastAsia" w:ascii="宋体" w:hAnsi="宋体" w:cs="黑体"/>
          <w:b/>
          <w:bCs/>
          <w:kern w:val="2"/>
          <w:sz w:val="28"/>
          <w:szCs w:val="28"/>
          <w:lang w:eastAsia="zh-CN"/>
        </w:rPr>
        <w:t xml:space="preserve">总第10期 </w:t>
      </w:r>
      <w:r>
        <w:rPr>
          <w:rFonts w:ascii="宋体" w:hAnsi="宋体" w:cs="黑体"/>
          <w:b/>
          <w:bCs/>
          <w:kern w:val="2"/>
          <w:sz w:val="28"/>
          <w:szCs w:val="28"/>
          <w:lang w:eastAsia="zh-CN"/>
        </w:rPr>
        <w:t xml:space="preserve"> </w:t>
      </w:r>
      <w:r>
        <w:rPr>
          <w:rFonts w:hint="eastAsia" w:ascii="宋体" w:hAnsi="宋体" w:cs="黑体"/>
          <w:b/>
          <w:bCs/>
          <w:kern w:val="2"/>
          <w:sz w:val="28"/>
          <w:szCs w:val="28"/>
          <w:lang w:eastAsia="zh-CN"/>
        </w:rPr>
        <w:t>2026年 第4期</w:t>
      </w:r>
    </w:p>
    <w:p w14:paraId="67E349A5">
      <w:pPr>
        <w:spacing w:before="120" w:beforeLines="50" w:after="120" w:afterLines="50" w:line="360" w:lineRule="auto"/>
        <w:ind w:firstLine="562" w:firstLineChars="200"/>
        <w:jc w:val="center"/>
        <w:rPr>
          <w:rFonts w:ascii="宋体" w:hAnsi="宋体" w:cs="黑体"/>
          <w:b/>
          <w:bCs/>
          <w:kern w:val="2"/>
          <w:sz w:val="28"/>
          <w:szCs w:val="28"/>
          <w:lang w:eastAsia="zh-CN"/>
        </w:rPr>
      </w:pPr>
    </w:p>
    <w:p w14:paraId="158D33E8">
      <w:pPr>
        <w:spacing w:before="120" w:beforeLines="50" w:after="120" w:afterLines="50" w:line="360" w:lineRule="auto"/>
        <w:ind w:firstLine="562" w:firstLineChars="200"/>
        <w:jc w:val="center"/>
        <w:rPr>
          <w:rFonts w:ascii="宋体" w:hAnsi="宋体" w:cs="黑体"/>
          <w:b/>
          <w:bCs/>
          <w:kern w:val="2"/>
          <w:sz w:val="28"/>
          <w:szCs w:val="28"/>
          <w:lang w:eastAsia="zh-CN"/>
        </w:rPr>
      </w:pPr>
    </w:p>
    <w:p w14:paraId="650D1383">
      <w:pPr>
        <w:spacing w:before="120" w:beforeLines="50" w:after="120" w:afterLines="50" w:line="360" w:lineRule="auto"/>
        <w:ind w:firstLine="562" w:firstLineChars="200"/>
        <w:jc w:val="center"/>
        <w:rPr>
          <w:rFonts w:ascii="宋体" w:hAnsi="宋体" w:cs="黑体"/>
          <w:b/>
          <w:bCs/>
          <w:kern w:val="2"/>
          <w:sz w:val="28"/>
          <w:szCs w:val="28"/>
          <w:lang w:eastAsia="zh-CN"/>
        </w:rPr>
      </w:pPr>
    </w:p>
    <w:p w14:paraId="41B26653">
      <w:pPr>
        <w:spacing w:before="120" w:beforeLines="50" w:after="120" w:afterLines="50" w:line="360" w:lineRule="auto"/>
        <w:ind w:firstLine="1920" w:firstLineChars="800"/>
        <w:rPr>
          <w:rFonts w:ascii="宋体" w:hAnsi="宋体" w:cs="黑体"/>
          <w:kern w:val="2"/>
          <w:sz w:val="24"/>
          <w:szCs w:val="24"/>
          <w:lang w:eastAsia="zh-CN"/>
        </w:rPr>
      </w:pPr>
      <w:r>
        <w:rPr>
          <w:rFonts w:hint="eastAsia" w:ascii="宋体" w:hAnsi="宋体" w:cs="黑体"/>
          <w:kern w:val="2"/>
          <w:sz w:val="24"/>
          <w:szCs w:val="24"/>
          <w:lang w:eastAsia="zh-CN"/>
        </w:rPr>
        <w:t xml:space="preserve">本期编辑：赵 </w:t>
      </w:r>
      <w:r>
        <w:rPr>
          <w:rFonts w:ascii="宋体" w:hAnsi="宋体" w:cs="黑体"/>
          <w:kern w:val="2"/>
          <w:sz w:val="24"/>
          <w:szCs w:val="24"/>
          <w:lang w:eastAsia="zh-CN"/>
        </w:rPr>
        <w:t xml:space="preserve"> </w:t>
      </w:r>
      <w:r>
        <w:rPr>
          <w:rFonts w:hint="eastAsia" w:ascii="宋体" w:hAnsi="宋体" w:cs="黑体"/>
          <w:kern w:val="2"/>
          <w:sz w:val="24"/>
          <w:szCs w:val="24"/>
          <w:lang w:eastAsia="zh-CN"/>
        </w:rPr>
        <w:t>欣律师 上海锦坤（大连）律师事务所</w:t>
      </w:r>
    </w:p>
    <w:p w14:paraId="740C60E8">
      <w:pPr>
        <w:spacing w:before="120" w:beforeLines="50" w:after="120" w:afterLines="50" w:line="360" w:lineRule="auto"/>
        <w:ind w:firstLine="1920" w:firstLineChars="800"/>
        <w:rPr>
          <w:rFonts w:ascii="宋体" w:hAnsi="宋体" w:cs="黑体"/>
          <w:kern w:val="2"/>
          <w:sz w:val="24"/>
          <w:szCs w:val="24"/>
          <w:lang w:eastAsia="zh-CN"/>
        </w:rPr>
      </w:pPr>
    </w:p>
    <w:p w14:paraId="19EE8D8F">
      <w:pPr>
        <w:spacing w:before="120" w:beforeLines="50" w:after="120" w:afterLines="50" w:line="360" w:lineRule="auto"/>
        <w:ind w:firstLine="1920" w:firstLineChars="800"/>
        <w:rPr>
          <w:rFonts w:ascii="宋体" w:hAnsi="宋体" w:cs="黑体"/>
          <w:kern w:val="2"/>
          <w:sz w:val="24"/>
          <w:szCs w:val="24"/>
          <w:lang w:eastAsia="zh-CN"/>
        </w:rPr>
      </w:pPr>
      <w:r>
        <w:rPr>
          <w:rFonts w:hint="eastAsia" w:ascii="宋体" w:hAnsi="宋体" w:cs="黑体"/>
          <w:kern w:val="2"/>
          <w:sz w:val="24"/>
          <w:szCs w:val="24"/>
          <w:lang w:eastAsia="zh-CN"/>
        </w:rPr>
        <w:t>责任编辑：赵莹莹律师 辽宁智库律师事务所</w:t>
      </w:r>
    </w:p>
    <w:p w14:paraId="6FB9625D">
      <w:pPr>
        <w:pStyle w:val="11"/>
        <w:spacing w:line="360" w:lineRule="auto"/>
        <w:ind w:firstLine="560" w:firstLineChars="200"/>
        <w:rPr>
          <w:rFonts w:hint="default"/>
          <w:color w:val="000000"/>
          <w:sz w:val="28"/>
        </w:rPr>
      </w:pPr>
    </w:p>
    <w:p w14:paraId="35FF8B90">
      <w:pPr>
        <w:pBdr>
          <w:top w:val="single" w:color="auto" w:sz="4" w:space="6"/>
          <w:left w:val="single" w:color="auto" w:sz="4" w:space="4"/>
          <w:bottom w:val="single" w:color="auto" w:sz="4" w:space="1"/>
          <w:right w:val="single" w:color="auto" w:sz="4" w:space="4"/>
        </w:pBdr>
        <w:spacing w:before="132" w:line="271" w:lineRule="auto"/>
        <w:ind w:right="157" w:firstLine="434" w:firstLineChars="200"/>
        <w:rPr>
          <w:rFonts w:ascii="黑体" w:hAnsi="黑体" w:eastAsia="黑体" w:cs="黑体"/>
          <w:b/>
          <w:bCs/>
          <w:color w:val="011893"/>
          <w:spacing w:val="7"/>
          <w:kern w:val="2"/>
          <w:szCs w:val="24"/>
          <w:lang w:eastAsia="zh-CN"/>
        </w:rPr>
      </w:pPr>
      <w:r>
        <w:rPr>
          <w:rFonts w:hint="eastAsia" w:ascii="黑体" w:hAnsi="黑体" w:eastAsia="黑体" w:cs="黑体"/>
          <w:b/>
          <w:bCs/>
          <w:color w:val="011893"/>
          <w:spacing w:val="8"/>
          <w:kern w:val="2"/>
          <w:sz w:val="20"/>
          <w:szCs w:val="20"/>
          <w:lang w:eastAsia="zh-CN"/>
        </w:rPr>
        <w:t>特别声明：本信息简报所载内容均来自国内报刊、专业网站已发表的文章等信息。在任何情形下，本信息简报均不可作为法律意见、作出行动或制止行动的</w:t>
      </w:r>
      <w:r>
        <w:rPr>
          <w:rFonts w:hint="eastAsia" w:ascii="黑体" w:hAnsi="黑体" w:eastAsia="黑体" w:cs="黑体"/>
          <w:b/>
          <w:bCs/>
          <w:color w:val="011893"/>
          <w:spacing w:val="7"/>
          <w:kern w:val="2"/>
          <w:sz w:val="20"/>
          <w:szCs w:val="20"/>
          <w:lang w:eastAsia="zh-CN"/>
        </w:rPr>
        <w:t>依据。</w:t>
      </w:r>
    </w:p>
    <w:p w14:paraId="2799DDDE">
      <w:pPr>
        <w:pBdr>
          <w:top w:val="single" w:color="auto" w:sz="4" w:space="6"/>
          <w:left w:val="single" w:color="auto" w:sz="4" w:space="4"/>
          <w:bottom w:val="single" w:color="auto" w:sz="4" w:space="1"/>
          <w:right w:val="single" w:color="auto" w:sz="4" w:space="4"/>
        </w:pBdr>
        <w:spacing w:before="132" w:line="271" w:lineRule="auto"/>
        <w:ind w:right="157" w:firstLine="434" w:firstLineChars="200"/>
        <w:rPr>
          <w:rFonts w:ascii="黑体" w:hAnsi="黑体" w:eastAsia="黑体" w:cs="黑体"/>
          <w:color w:val="011893"/>
          <w:kern w:val="2"/>
          <w:sz w:val="20"/>
          <w:szCs w:val="20"/>
          <w:lang w:eastAsia="zh-CN"/>
        </w:rPr>
      </w:pPr>
      <w:r>
        <w:rPr>
          <w:rFonts w:hint="eastAsia" w:ascii="黑体" w:hAnsi="黑体" w:eastAsia="黑体" w:cs="黑体"/>
          <w:b/>
          <w:bCs/>
          <w:color w:val="011893"/>
          <w:spacing w:val="8"/>
          <w:kern w:val="2"/>
          <w:sz w:val="20"/>
          <w:szCs w:val="20"/>
          <w:lang w:eastAsia="zh-CN"/>
        </w:rPr>
        <w:t>版权保护：本信息简报由大连市律师协会公司法律专业委员会共同编辑并发布。任何有关本信息简报的转载或摘编，请注明出处。</w:t>
      </w:r>
    </w:p>
    <w:p w14:paraId="54E15D39">
      <w:pPr>
        <w:rPr>
          <w:rFonts w:ascii="等线" w:hAnsi="等线" w:eastAsia="等线" w:cs="黑体"/>
          <w:kern w:val="2"/>
          <w:szCs w:val="24"/>
          <w:lang w:eastAsia="zh-CN"/>
        </w:rPr>
      </w:pPr>
    </w:p>
    <w:p w14:paraId="64C229CC">
      <w:pPr>
        <w:rPr>
          <w:rFonts w:ascii="仿宋_GB2312" w:hAnsi="仿宋_GB2312" w:eastAsia="仿宋_GB2312" w:cs="仿宋_GB2312"/>
          <w:color w:val="000000"/>
          <w:sz w:val="28"/>
          <w:lang w:eastAsia="zh-CN"/>
        </w:rPr>
      </w:pPr>
      <w:r>
        <w:rPr>
          <w:rFonts w:ascii="仿宋_GB2312" w:hAnsi="仿宋_GB2312" w:eastAsia="仿宋_GB2312" w:cs="仿宋_GB2312"/>
          <w:color w:val="000000"/>
          <w:sz w:val="28"/>
          <w:lang w:eastAsia="zh-CN"/>
        </w:rPr>
        <w:br w:type="page"/>
      </w:r>
    </w:p>
    <w:p w14:paraId="07CA6C00">
      <w:pPr>
        <w:pStyle w:val="11"/>
        <w:spacing w:line="360" w:lineRule="auto"/>
        <w:ind w:firstLine="602" w:firstLineChars="200"/>
        <w:jc w:val="center"/>
        <w:rPr>
          <w:rFonts w:hint="default" w:ascii="宋体" w:hAnsi="宋体" w:eastAsia="宋体" w:cs="宋体"/>
          <w:b/>
          <w:bCs/>
          <w:sz w:val="30"/>
          <w:szCs w:val="30"/>
        </w:rPr>
      </w:pPr>
      <w:r>
        <w:rPr>
          <w:rFonts w:ascii="宋体" w:hAnsi="宋体" w:eastAsia="宋体" w:cs="宋体"/>
          <w:b/>
          <w:bCs/>
          <w:color w:val="000000"/>
          <w:sz w:val="30"/>
          <w:szCs w:val="30"/>
        </w:rPr>
        <w:t>目录</w:t>
      </w:r>
    </w:p>
    <w:p w14:paraId="7B9DFD42">
      <w:pPr>
        <w:adjustRightInd w:val="0"/>
        <w:snapToGrid w:val="0"/>
        <w:spacing w:before="120" w:beforeLines="50" w:after="120" w:afterLines="50" w:line="480" w:lineRule="exact"/>
        <w:ind w:firstLine="562" w:firstLineChars="200"/>
        <w:outlineLvl w:val="0"/>
        <w:rPr>
          <w:rFonts w:ascii="宋体" w:hAnsi="宋体" w:cs="黑体"/>
          <w:b/>
          <w:bCs/>
          <w:color w:val="FFFFFF"/>
          <w:kern w:val="2"/>
          <w:sz w:val="28"/>
          <w:szCs w:val="28"/>
          <w:highlight w:val="blue"/>
          <w:lang w:eastAsia="zh-CN"/>
        </w:rPr>
      </w:pPr>
      <w:r>
        <w:rPr>
          <w:rFonts w:hint="eastAsia" w:ascii="宋体" w:hAnsi="宋体" w:cs="黑体"/>
          <w:b/>
          <w:bCs/>
          <w:color w:val="FFFFFF"/>
          <w:kern w:val="2"/>
          <w:sz w:val="28"/>
          <w:szCs w:val="28"/>
          <w:highlight w:val="blue"/>
          <w:lang w:eastAsia="zh-CN"/>
        </w:rPr>
        <w:t>一、新法规政策总览</w:t>
      </w:r>
    </w:p>
    <w:p w14:paraId="7709D531">
      <w:pPr>
        <w:adjustRightInd w:val="0"/>
        <w:snapToGrid w:val="0"/>
        <w:spacing w:line="480" w:lineRule="exact"/>
        <w:ind w:firstLine="480" w:firstLineChars="200"/>
        <w:rPr>
          <w:rFonts w:ascii="宋体" w:hAnsi="宋体" w:cs="黑体"/>
          <w:b/>
          <w:bCs/>
          <w:color w:val="FFFFFF"/>
          <w:kern w:val="2"/>
          <w:sz w:val="28"/>
          <w:szCs w:val="28"/>
          <w:highlight w:val="blue"/>
          <w:lang w:eastAsia="zh-CN"/>
        </w:rPr>
      </w:pPr>
      <w:r>
        <w:rPr>
          <w:rFonts w:hint="eastAsia" w:ascii="宋体" w:hAnsi="宋体" w:cs="黑体"/>
          <w:kern w:val="2"/>
          <w:sz w:val="24"/>
          <w:szCs w:val="24"/>
          <w:lang w:eastAsia="zh-CN"/>
        </w:rPr>
        <w:t>1.2026年2月24日，中国证券监督管理委员会发布《私募投资基金信息披露监督管理办法》（自2026年9月1日起施行）。</w:t>
      </w:r>
    </w:p>
    <w:p w14:paraId="4F44C18B">
      <w:pPr>
        <w:adjustRightInd w:val="0"/>
        <w:snapToGrid w:val="0"/>
        <w:spacing w:line="480" w:lineRule="exact"/>
        <w:ind w:firstLine="480" w:firstLineChars="200"/>
        <w:rPr>
          <w:rFonts w:ascii="宋体" w:hAnsi="宋体" w:cs="黑体"/>
          <w:kern w:val="2"/>
          <w:sz w:val="24"/>
          <w:szCs w:val="24"/>
          <w:lang w:eastAsia="zh-CN"/>
        </w:rPr>
      </w:pPr>
      <w:r>
        <w:rPr>
          <w:rFonts w:hint="eastAsia" w:ascii="宋体" w:hAnsi="宋体" w:cs="黑体"/>
          <w:kern w:val="2"/>
          <w:sz w:val="24"/>
          <w:szCs w:val="24"/>
          <w:lang w:eastAsia="zh-CN"/>
        </w:rPr>
        <w:t>2.2026年4月21日，中国人民银行、工业和信息化部、市场监管总局、金融监管总局、中国证监会、国家知识产权局、国家网信办、国家外汇管理局联合发布《金融产品网络营销管理办法》（自2026年9月30日起施行）。</w:t>
      </w:r>
    </w:p>
    <w:p w14:paraId="1BC1DE5F">
      <w:pPr>
        <w:adjustRightInd w:val="0"/>
        <w:snapToGrid w:val="0"/>
        <w:spacing w:line="480" w:lineRule="exact"/>
        <w:ind w:firstLine="480" w:firstLineChars="200"/>
        <w:rPr>
          <w:rFonts w:ascii="宋体" w:hAnsi="宋体" w:cs="黑体"/>
          <w:kern w:val="2"/>
          <w:sz w:val="24"/>
          <w:szCs w:val="24"/>
          <w:lang w:eastAsia="zh-CN"/>
        </w:rPr>
      </w:pPr>
      <w:r>
        <w:rPr>
          <w:rFonts w:hint="eastAsia" w:ascii="宋体" w:hAnsi="宋体" w:cs="黑体"/>
          <w:kern w:val="2"/>
          <w:sz w:val="24"/>
          <w:szCs w:val="24"/>
          <w:lang w:eastAsia="zh-CN"/>
        </w:rPr>
        <w:t>3.2026年8月10日，国务院发布《住房公积金管理条例》（自2026年9月20日起施行）。</w:t>
      </w:r>
    </w:p>
    <w:p w14:paraId="777C9310">
      <w:pPr>
        <w:adjustRightInd w:val="0"/>
        <w:snapToGrid w:val="0"/>
        <w:spacing w:line="480" w:lineRule="exact"/>
        <w:ind w:firstLine="480" w:firstLineChars="200"/>
        <w:rPr>
          <w:rFonts w:ascii="宋体" w:hAnsi="宋体" w:cs="黑体"/>
          <w:kern w:val="2"/>
          <w:sz w:val="24"/>
          <w:szCs w:val="24"/>
          <w:lang w:eastAsia="zh-CN"/>
        </w:rPr>
      </w:pPr>
      <w:r>
        <w:rPr>
          <w:rFonts w:hint="eastAsia" w:ascii="宋体" w:hAnsi="宋体" w:cs="黑体"/>
          <w:kern w:val="2"/>
          <w:sz w:val="24"/>
          <w:szCs w:val="24"/>
          <w:lang w:eastAsia="zh-CN"/>
        </w:rPr>
        <w:t>4.2026年8月19日，最高人民法院审判委员会第1976次会议通过的</w:t>
      </w:r>
      <w:r>
        <w:fldChar w:fldCharType="begin"/>
      </w:r>
      <w:r>
        <w:instrText xml:space="preserve"> HYPERLINK "https://law.wkinfo.com.cn/document/show?collection=legislation&amp;aid=MTAwMTc1NzUxMjU=&amp;language=%E4%B8%AD%E6%96%87" \t "https://law.wkinfo.com.cn/legislation/detail/_blank" </w:instrText>
      </w:r>
      <w:r>
        <w:fldChar w:fldCharType="separate"/>
      </w:r>
      <w:r>
        <w:rPr>
          <w:rFonts w:hint="eastAsia" w:ascii="宋体" w:hAnsi="宋体" w:cs="黑体"/>
          <w:kern w:val="2"/>
          <w:sz w:val="24"/>
          <w:szCs w:val="24"/>
          <w:lang w:eastAsia="zh-CN"/>
        </w:rPr>
        <w:t>《最高人民法院关于审理著作权民事纠纷案件适用法律若干问题的解释》</w:t>
      </w:r>
      <w:r>
        <w:rPr>
          <w:rFonts w:hint="eastAsia" w:ascii="宋体" w:hAnsi="宋体" w:cs="黑体"/>
          <w:kern w:val="2"/>
          <w:sz w:val="24"/>
          <w:szCs w:val="24"/>
          <w:lang w:eastAsia="zh-CN"/>
        </w:rPr>
        <w:fldChar w:fldCharType="end"/>
      </w:r>
      <w:r>
        <w:rPr>
          <w:rFonts w:hint="eastAsia" w:ascii="宋体" w:hAnsi="宋体" w:cs="黑体"/>
          <w:kern w:val="2"/>
          <w:sz w:val="24"/>
          <w:szCs w:val="24"/>
          <w:lang w:eastAsia="zh-CN"/>
        </w:rPr>
        <w:t>（自2026年9月1日起施行）。</w:t>
      </w:r>
    </w:p>
    <w:p w14:paraId="0122C1A1">
      <w:pPr>
        <w:adjustRightInd w:val="0"/>
        <w:snapToGrid w:val="0"/>
        <w:spacing w:before="120" w:beforeLines="50" w:after="120" w:afterLines="50" w:line="480" w:lineRule="exact"/>
        <w:ind w:firstLine="562" w:firstLineChars="200"/>
        <w:outlineLvl w:val="0"/>
        <w:rPr>
          <w:rFonts w:ascii="宋体" w:hAnsi="宋体" w:cs="黑体"/>
          <w:b/>
          <w:bCs/>
          <w:color w:val="FFFFFF"/>
          <w:kern w:val="2"/>
          <w:sz w:val="28"/>
          <w:szCs w:val="28"/>
          <w:highlight w:val="blue"/>
          <w:lang w:eastAsia="zh-CN"/>
        </w:rPr>
      </w:pPr>
      <w:r>
        <w:rPr>
          <w:rFonts w:hint="eastAsia" w:ascii="宋体" w:hAnsi="宋体" w:cs="黑体"/>
          <w:b/>
          <w:bCs/>
          <w:color w:val="FFFFFF"/>
          <w:kern w:val="2"/>
          <w:sz w:val="28"/>
          <w:szCs w:val="28"/>
          <w:highlight w:val="blue"/>
          <w:lang w:eastAsia="zh-CN"/>
        </w:rPr>
        <w:t>二、典型示范案例解析</w:t>
      </w:r>
    </w:p>
    <w:p w14:paraId="2D6AF7DC">
      <w:pPr>
        <w:adjustRightInd w:val="0"/>
        <w:snapToGrid w:val="0"/>
        <w:spacing w:line="480" w:lineRule="exact"/>
        <w:ind w:firstLine="480" w:firstLineChars="200"/>
        <w:rPr>
          <w:rFonts w:ascii="宋体" w:hAnsi="宋体" w:cs="黑体"/>
          <w:kern w:val="2"/>
          <w:sz w:val="24"/>
          <w:szCs w:val="24"/>
          <w:lang w:eastAsia="zh-CN"/>
        </w:rPr>
      </w:pPr>
      <w:r>
        <w:rPr>
          <w:rFonts w:hint="eastAsia" w:ascii="宋体" w:hAnsi="宋体" w:cs="黑体"/>
          <w:kern w:val="2"/>
          <w:sz w:val="24"/>
          <w:szCs w:val="24"/>
          <w:lang w:eastAsia="zh-CN"/>
        </w:rPr>
        <w:t>案例1：陈某海诉浙江某科技股份有限公司等公司决议纠纷案【案号：（2015）最高法民申2724号，入库编号：2024-08-2-270-004】</w:t>
      </w:r>
    </w:p>
    <w:p w14:paraId="7BB37981">
      <w:pPr>
        <w:adjustRightInd w:val="0"/>
        <w:snapToGrid w:val="0"/>
        <w:spacing w:line="480" w:lineRule="exact"/>
        <w:ind w:firstLine="480" w:firstLineChars="200"/>
        <w:rPr>
          <w:rFonts w:ascii="宋体" w:hAnsi="宋体" w:cs="黑体"/>
          <w:kern w:val="2"/>
          <w:sz w:val="24"/>
          <w:szCs w:val="24"/>
          <w:lang w:eastAsia="zh-CN"/>
        </w:rPr>
      </w:pPr>
      <w:r>
        <w:rPr>
          <w:rFonts w:hint="eastAsia" w:ascii="宋体" w:hAnsi="宋体" w:cs="黑体"/>
          <w:kern w:val="2"/>
          <w:sz w:val="24"/>
          <w:szCs w:val="24"/>
          <w:lang w:eastAsia="zh-CN"/>
        </w:rPr>
        <w:t>案例2：上海某某企业管理咨询有限公司诉上海某某企业管理有限公司公司决议撤销纠纷案【案号：（2019）沪民终4260号，入库编号：2024-08-2-270-002】</w:t>
      </w:r>
    </w:p>
    <w:p w14:paraId="2F493340">
      <w:pPr>
        <w:adjustRightInd w:val="0"/>
        <w:snapToGrid w:val="0"/>
        <w:spacing w:line="480" w:lineRule="exact"/>
        <w:ind w:firstLine="480" w:firstLineChars="200"/>
        <w:rPr>
          <w:rFonts w:ascii="宋体" w:hAnsi="宋体" w:cs="黑体"/>
          <w:kern w:val="2"/>
          <w:sz w:val="24"/>
          <w:szCs w:val="24"/>
          <w:lang w:eastAsia="zh-CN"/>
        </w:rPr>
      </w:pPr>
      <w:r>
        <w:rPr>
          <w:rFonts w:ascii="宋体" w:hAnsi="宋体" w:cs="黑体"/>
          <w:kern w:val="2"/>
          <w:sz w:val="24"/>
          <w:szCs w:val="24"/>
          <w:lang w:eastAsia="zh-CN"/>
        </w:rPr>
        <w:t>案例</w:t>
      </w:r>
      <w:r>
        <w:rPr>
          <w:rFonts w:hint="eastAsia" w:ascii="宋体" w:hAnsi="宋体" w:cs="黑体"/>
          <w:kern w:val="2"/>
          <w:sz w:val="24"/>
          <w:szCs w:val="24"/>
          <w:lang w:eastAsia="zh-CN"/>
        </w:rPr>
        <w:t>3</w:t>
      </w:r>
      <w:r>
        <w:rPr>
          <w:rFonts w:ascii="宋体" w:hAnsi="宋体" w:cs="黑体"/>
          <w:kern w:val="2"/>
          <w:sz w:val="24"/>
          <w:szCs w:val="24"/>
          <w:lang w:eastAsia="zh-CN"/>
        </w:rPr>
        <w:t>：</w:t>
      </w:r>
      <w:r>
        <w:rPr>
          <w:rStyle w:val="9"/>
          <w:rFonts w:hint="eastAsia" w:ascii="宋体" w:hAnsi="宋体" w:cs="宋体"/>
          <w:b w:val="0"/>
          <w:bCs/>
          <w:spacing w:val="5"/>
          <w:sz w:val="24"/>
          <w:szCs w:val="24"/>
          <w:shd w:val="clear" w:color="auto" w:fill="FFFFFF"/>
          <w:lang w:eastAsia="zh-CN"/>
        </w:rPr>
        <w:t>吴某诉北京某某公司等公司决议纠纷案</w:t>
      </w:r>
      <w:r>
        <w:rPr>
          <w:rFonts w:hint="eastAsia" w:ascii="宋体" w:hAnsi="宋体" w:cs="黑体"/>
          <w:kern w:val="2"/>
          <w:sz w:val="24"/>
          <w:szCs w:val="24"/>
          <w:lang w:eastAsia="zh-CN"/>
        </w:rPr>
        <w:t>【案号：（2020）京03民终5136号，入库编号：2024-08-2-270-001】</w:t>
      </w:r>
    </w:p>
    <w:p w14:paraId="263FF731">
      <w:pPr>
        <w:adjustRightInd w:val="0"/>
        <w:snapToGrid w:val="0"/>
        <w:spacing w:line="480" w:lineRule="exact"/>
        <w:ind w:firstLine="480" w:firstLineChars="200"/>
        <w:rPr>
          <w:rFonts w:ascii="宋体" w:hAnsi="宋体" w:cs="黑体"/>
          <w:kern w:val="2"/>
          <w:sz w:val="24"/>
          <w:szCs w:val="24"/>
          <w:lang w:eastAsia="zh-CN"/>
        </w:rPr>
      </w:pPr>
      <w:r>
        <w:rPr>
          <w:rFonts w:ascii="宋体" w:hAnsi="宋体" w:cs="黑体"/>
          <w:kern w:val="2"/>
          <w:sz w:val="24"/>
          <w:szCs w:val="24"/>
          <w:lang w:eastAsia="zh-CN"/>
        </w:rPr>
        <w:t>案例</w:t>
      </w:r>
      <w:r>
        <w:rPr>
          <w:rFonts w:hint="eastAsia" w:ascii="宋体" w:hAnsi="宋体" w:cs="黑体"/>
          <w:kern w:val="2"/>
          <w:sz w:val="24"/>
          <w:szCs w:val="24"/>
          <w:lang w:eastAsia="zh-CN"/>
        </w:rPr>
        <w:t>4</w:t>
      </w:r>
      <w:r>
        <w:rPr>
          <w:rFonts w:ascii="宋体" w:hAnsi="宋体" w:cs="黑体"/>
          <w:kern w:val="2"/>
          <w:sz w:val="24"/>
          <w:szCs w:val="24"/>
          <w:lang w:eastAsia="zh-CN"/>
        </w:rPr>
        <w:t>：</w:t>
      </w:r>
      <w:r>
        <w:rPr>
          <w:rStyle w:val="9"/>
          <w:rFonts w:hint="eastAsia" w:ascii="宋体" w:hAnsi="宋体" w:cs="宋体"/>
          <w:b w:val="0"/>
          <w:bCs/>
          <w:spacing w:val="5"/>
          <w:sz w:val="24"/>
          <w:szCs w:val="24"/>
          <w:shd w:val="clear" w:color="auto" w:fill="FFFFFF"/>
          <w:lang w:eastAsia="zh-CN"/>
        </w:rPr>
        <w:t>尤某诉无锡某有限公司股东知情权纠纷案</w:t>
      </w:r>
      <w:r>
        <w:rPr>
          <w:rFonts w:hint="eastAsia" w:ascii="宋体" w:hAnsi="宋体" w:cs="黑体"/>
          <w:kern w:val="2"/>
          <w:sz w:val="24"/>
          <w:szCs w:val="24"/>
          <w:lang w:eastAsia="zh-CN"/>
        </w:rPr>
        <w:t>【案号：（2017）苏民终1593号，入库编号：2024-08-2-267-001】</w:t>
      </w:r>
    </w:p>
    <w:p w14:paraId="7EFADD93">
      <w:pPr>
        <w:adjustRightInd w:val="0"/>
        <w:snapToGrid w:val="0"/>
        <w:spacing w:line="480" w:lineRule="exact"/>
        <w:ind w:firstLine="480" w:firstLineChars="200"/>
        <w:rPr>
          <w:rFonts w:ascii="宋体" w:hAnsi="宋体" w:cs="黑体"/>
          <w:kern w:val="2"/>
          <w:sz w:val="24"/>
          <w:szCs w:val="24"/>
          <w:lang w:eastAsia="zh-CN"/>
        </w:rPr>
      </w:pPr>
      <w:r>
        <w:rPr>
          <w:rFonts w:ascii="宋体" w:hAnsi="宋体" w:cs="黑体"/>
          <w:kern w:val="2"/>
          <w:sz w:val="24"/>
          <w:szCs w:val="24"/>
          <w:lang w:eastAsia="zh-CN"/>
        </w:rPr>
        <w:t>案例</w:t>
      </w:r>
      <w:r>
        <w:rPr>
          <w:rFonts w:hint="eastAsia" w:ascii="宋体" w:hAnsi="宋体" w:cs="黑体"/>
          <w:kern w:val="2"/>
          <w:sz w:val="24"/>
          <w:szCs w:val="24"/>
          <w:lang w:eastAsia="zh-CN"/>
        </w:rPr>
        <w:t>5</w:t>
      </w:r>
      <w:r>
        <w:rPr>
          <w:rFonts w:ascii="宋体" w:hAnsi="宋体" w:cs="黑体"/>
          <w:kern w:val="2"/>
          <w:sz w:val="24"/>
          <w:szCs w:val="24"/>
          <w:lang w:eastAsia="zh-CN"/>
        </w:rPr>
        <w:t>：</w:t>
      </w:r>
      <w:r>
        <w:rPr>
          <w:rStyle w:val="9"/>
          <w:rFonts w:hint="eastAsia" w:ascii="宋体" w:hAnsi="宋体" w:cs="宋体"/>
          <w:b w:val="0"/>
          <w:bCs/>
          <w:spacing w:val="5"/>
          <w:sz w:val="24"/>
          <w:szCs w:val="24"/>
          <w:shd w:val="clear" w:color="auto" w:fill="FFFFFF"/>
          <w:lang w:eastAsia="zh-CN"/>
        </w:rPr>
        <w:t>苏州某光伏有限公司诉沭阳某太阳能科技有限公司、纪某乙、徐某买卖合同纠纷案</w:t>
      </w:r>
      <w:r>
        <w:rPr>
          <w:rFonts w:hint="eastAsia" w:ascii="宋体" w:hAnsi="宋体" w:cs="黑体"/>
          <w:kern w:val="2"/>
          <w:sz w:val="24"/>
          <w:szCs w:val="24"/>
          <w:lang w:eastAsia="zh-CN"/>
        </w:rPr>
        <w:t>【案号：（2018）苏0507民初4970号，入库编号：2024-08-2-084-005】</w:t>
      </w:r>
    </w:p>
    <w:p w14:paraId="79135B3E">
      <w:pPr>
        <w:adjustRightInd w:val="0"/>
        <w:snapToGrid w:val="0"/>
        <w:spacing w:line="480" w:lineRule="exact"/>
        <w:ind w:firstLine="480" w:firstLineChars="200"/>
        <w:rPr>
          <w:rFonts w:ascii="宋体" w:hAnsi="宋体" w:cs="黑体"/>
          <w:kern w:val="2"/>
          <w:sz w:val="24"/>
          <w:szCs w:val="24"/>
          <w:lang w:eastAsia="zh-CN"/>
        </w:rPr>
      </w:pPr>
      <w:r>
        <w:rPr>
          <w:rFonts w:ascii="宋体" w:hAnsi="宋体" w:cs="黑体"/>
          <w:kern w:val="2"/>
          <w:sz w:val="24"/>
          <w:szCs w:val="24"/>
          <w:lang w:eastAsia="zh-CN"/>
        </w:rPr>
        <w:t>案例</w:t>
      </w:r>
      <w:r>
        <w:rPr>
          <w:rFonts w:hint="eastAsia" w:ascii="宋体" w:hAnsi="宋体" w:cs="黑体"/>
          <w:kern w:val="2"/>
          <w:sz w:val="24"/>
          <w:szCs w:val="24"/>
          <w:lang w:eastAsia="zh-CN"/>
        </w:rPr>
        <w:t>6</w:t>
      </w:r>
      <w:r>
        <w:rPr>
          <w:rFonts w:ascii="宋体" w:hAnsi="宋体" w:cs="黑体"/>
          <w:kern w:val="2"/>
          <w:sz w:val="24"/>
          <w:szCs w:val="24"/>
          <w:lang w:eastAsia="zh-CN"/>
        </w:rPr>
        <w:t>：</w:t>
      </w:r>
      <w:r>
        <w:rPr>
          <w:rStyle w:val="9"/>
          <w:rFonts w:hint="eastAsia" w:ascii="宋体" w:hAnsi="宋体" w:cs="宋体"/>
          <w:b w:val="0"/>
          <w:bCs/>
          <w:spacing w:val="5"/>
          <w:sz w:val="24"/>
          <w:szCs w:val="24"/>
          <w:shd w:val="clear" w:color="auto" w:fill="FFFFFF"/>
          <w:lang w:eastAsia="zh-CN"/>
        </w:rPr>
        <w:t>中国某资产管理公司河北省分公司与张某、刘某某、胡某某等变更追加被执行人异议之诉案</w:t>
      </w:r>
      <w:r>
        <w:rPr>
          <w:rFonts w:hint="eastAsia" w:ascii="宋体" w:hAnsi="宋体" w:cs="黑体"/>
          <w:kern w:val="2"/>
          <w:sz w:val="24"/>
          <w:szCs w:val="24"/>
          <w:lang w:eastAsia="zh-CN"/>
        </w:rPr>
        <w:t>【案号：（2022）冀民终336号，入库编号：2024-07-2-472-003】</w:t>
      </w:r>
    </w:p>
    <w:p w14:paraId="76A049B0">
      <w:pPr>
        <w:adjustRightInd w:val="0"/>
        <w:snapToGrid w:val="0"/>
        <w:spacing w:line="480" w:lineRule="exact"/>
        <w:ind w:firstLine="480" w:firstLineChars="200"/>
        <w:rPr>
          <w:rFonts w:ascii="宋体" w:hAnsi="宋体" w:cs="黑体"/>
          <w:kern w:val="2"/>
          <w:sz w:val="24"/>
          <w:szCs w:val="24"/>
          <w:lang w:eastAsia="zh-CN"/>
        </w:rPr>
      </w:pPr>
      <w:r>
        <w:rPr>
          <w:rFonts w:ascii="宋体" w:hAnsi="宋体" w:cs="黑体"/>
          <w:kern w:val="2"/>
          <w:sz w:val="24"/>
          <w:szCs w:val="24"/>
          <w:lang w:eastAsia="zh-CN"/>
        </w:rPr>
        <w:t>案例</w:t>
      </w:r>
      <w:r>
        <w:rPr>
          <w:rFonts w:hint="eastAsia" w:ascii="宋体" w:hAnsi="宋体" w:cs="黑体"/>
          <w:kern w:val="2"/>
          <w:sz w:val="24"/>
          <w:szCs w:val="24"/>
          <w:lang w:eastAsia="zh-CN"/>
        </w:rPr>
        <w:t>7</w:t>
      </w:r>
      <w:r>
        <w:rPr>
          <w:rFonts w:ascii="宋体" w:hAnsi="宋体" w:cs="黑体"/>
          <w:kern w:val="2"/>
          <w:sz w:val="24"/>
          <w:szCs w:val="24"/>
          <w:lang w:eastAsia="zh-CN"/>
        </w:rPr>
        <w:t>：</w:t>
      </w:r>
      <w:r>
        <w:rPr>
          <w:rStyle w:val="9"/>
          <w:rFonts w:hint="eastAsia" w:ascii="宋体" w:hAnsi="宋体" w:cs="宋体"/>
          <w:b w:val="0"/>
          <w:bCs/>
          <w:spacing w:val="5"/>
          <w:sz w:val="24"/>
          <w:szCs w:val="24"/>
          <w:shd w:val="clear" w:color="auto" w:fill="FFFFFF"/>
          <w:lang w:eastAsia="zh-CN"/>
        </w:rPr>
        <w:t>陈某诉上海某咨询有限公司股权转让纠纷案</w:t>
      </w:r>
      <w:r>
        <w:rPr>
          <w:rFonts w:hint="eastAsia" w:ascii="宋体" w:hAnsi="宋体" w:cs="黑体"/>
          <w:kern w:val="2"/>
          <w:sz w:val="24"/>
          <w:szCs w:val="24"/>
          <w:lang w:eastAsia="zh-CN"/>
        </w:rPr>
        <w:t>【案号：（2019）沪民申18号，入库编号：2023-16-2-269-005】</w:t>
      </w:r>
    </w:p>
    <w:p w14:paraId="7E37E1FD">
      <w:pPr>
        <w:spacing w:line="480" w:lineRule="exact"/>
        <w:ind w:firstLine="480" w:firstLineChars="200"/>
        <w:rPr>
          <w:rFonts w:ascii="宋体" w:hAnsi="宋体" w:cs="黑体"/>
          <w:kern w:val="2"/>
          <w:sz w:val="24"/>
          <w:szCs w:val="24"/>
          <w:lang w:eastAsia="zh-CN"/>
        </w:rPr>
      </w:pPr>
      <w:r>
        <w:rPr>
          <w:rFonts w:ascii="宋体" w:hAnsi="宋体" w:cs="黑体"/>
          <w:kern w:val="2"/>
          <w:sz w:val="24"/>
          <w:szCs w:val="24"/>
          <w:lang w:eastAsia="zh-CN"/>
        </w:rPr>
        <w:t>案例8：</w:t>
      </w:r>
      <w:r>
        <w:rPr>
          <w:rStyle w:val="9"/>
          <w:rFonts w:hint="eastAsia" w:ascii="宋体" w:hAnsi="宋体" w:cs="宋体"/>
          <w:b w:val="0"/>
          <w:bCs/>
          <w:spacing w:val="5"/>
          <w:sz w:val="24"/>
          <w:szCs w:val="24"/>
          <w:shd w:val="clear" w:color="auto" w:fill="FFFFFF"/>
          <w:lang w:eastAsia="zh-CN"/>
        </w:rPr>
        <w:t>刘某某诉蒋某甲、常州某公司等民间借贷纠纷案</w:t>
      </w:r>
      <w:r>
        <w:rPr>
          <w:rFonts w:hint="eastAsia" w:ascii="宋体" w:hAnsi="宋体" w:cs="黑体"/>
          <w:kern w:val="2"/>
          <w:sz w:val="24"/>
          <w:szCs w:val="24"/>
          <w:lang w:eastAsia="zh-CN"/>
        </w:rPr>
        <w:t>【案号：（2020）京02民再151号，入库编号：2023-16-2-103-012】</w:t>
      </w:r>
    </w:p>
    <w:p w14:paraId="40E5AD42">
      <w:pPr>
        <w:spacing w:line="480" w:lineRule="exact"/>
        <w:ind w:firstLine="480" w:firstLineChars="200"/>
        <w:rPr>
          <w:rFonts w:ascii="宋体" w:hAnsi="宋体" w:cs="黑体"/>
          <w:kern w:val="2"/>
          <w:sz w:val="24"/>
          <w:szCs w:val="24"/>
          <w:lang w:eastAsia="zh-CN"/>
        </w:rPr>
      </w:pPr>
    </w:p>
    <w:p w14:paraId="46348AAD">
      <w:pPr>
        <w:pStyle w:val="11"/>
        <w:spacing w:line="480" w:lineRule="exact"/>
        <w:ind w:firstLine="602" w:firstLineChars="200"/>
        <w:jc w:val="center"/>
        <w:outlineLvl w:val="0"/>
        <w:rPr>
          <w:rFonts w:hint="default" w:ascii="宋体" w:hAnsi="宋体" w:eastAsia="宋体" w:cs="宋体"/>
          <w:b/>
          <w:sz w:val="30"/>
          <w:szCs w:val="30"/>
        </w:rPr>
      </w:pPr>
      <w:r>
        <w:rPr>
          <w:rFonts w:ascii="宋体" w:hAnsi="宋体" w:eastAsia="宋体" w:cs="宋体"/>
          <w:b/>
          <w:color w:val="000000"/>
          <w:sz w:val="30"/>
          <w:szCs w:val="30"/>
        </w:rPr>
        <w:t>正文</w:t>
      </w:r>
    </w:p>
    <w:p w14:paraId="68B8F68C">
      <w:pPr>
        <w:adjustRightInd w:val="0"/>
        <w:snapToGrid w:val="0"/>
        <w:spacing w:before="120" w:beforeLines="50" w:after="120" w:afterLines="50" w:line="480" w:lineRule="exact"/>
        <w:ind w:firstLine="562" w:firstLineChars="200"/>
        <w:outlineLvl w:val="0"/>
        <w:rPr>
          <w:rFonts w:ascii="宋体" w:hAnsi="宋体" w:cs="黑体"/>
          <w:b/>
          <w:bCs/>
          <w:color w:val="FFFFFF"/>
          <w:kern w:val="2"/>
          <w:sz w:val="28"/>
          <w:szCs w:val="28"/>
          <w:highlight w:val="blue"/>
          <w:lang w:eastAsia="zh-CN"/>
        </w:rPr>
      </w:pPr>
      <w:r>
        <w:rPr>
          <w:rFonts w:hint="eastAsia" w:ascii="宋体" w:hAnsi="宋体" w:cs="黑体"/>
          <w:b/>
          <w:bCs/>
          <w:color w:val="FFFFFF"/>
          <w:kern w:val="2"/>
          <w:sz w:val="28"/>
          <w:szCs w:val="28"/>
          <w:highlight w:val="blue"/>
          <w:lang w:eastAsia="zh-CN"/>
        </w:rPr>
        <w:t>一、新法规政策总览</w:t>
      </w:r>
    </w:p>
    <w:p w14:paraId="1AD741B0">
      <w:pPr>
        <w:pStyle w:val="11"/>
        <w:spacing w:line="480" w:lineRule="exact"/>
        <w:ind w:firstLine="482" w:firstLineChars="200"/>
        <w:rPr>
          <w:rFonts w:hint="default" w:ascii="宋体" w:hAnsi="宋体" w:eastAsia="宋体" w:cs="宋体"/>
          <w:b/>
          <w:bCs/>
          <w:color w:val="000000"/>
        </w:rPr>
      </w:pPr>
      <w:r>
        <w:rPr>
          <w:rFonts w:ascii="宋体" w:hAnsi="宋体" w:eastAsia="宋体" w:cs="宋体"/>
          <w:b/>
          <w:bCs/>
          <w:color w:val="000000"/>
        </w:rPr>
        <w:t>1.2026年2月24日，中国证券监督管理委员会发布《私募投资基金信息披露监督管理办法》（自2026年9月1日起施行）。</w:t>
      </w:r>
    </w:p>
    <w:p w14:paraId="4EFFB4D5">
      <w:pPr>
        <w:pStyle w:val="11"/>
        <w:spacing w:line="480" w:lineRule="exact"/>
        <w:ind w:firstLine="482" w:firstLineChars="200"/>
        <w:rPr>
          <w:rFonts w:hint="default" w:ascii="宋体" w:hAnsi="宋体" w:eastAsia="宋体" w:cs="宋体"/>
          <w:b/>
          <w:bCs/>
          <w:color w:val="000000"/>
        </w:rPr>
      </w:pPr>
      <w:r>
        <w:rPr>
          <w:rFonts w:ascii="宋体" w:hAnsi="宋体" w:eastAsia="宋体" w:cs="宋体"/>
          <w:b/>
          <w:bCs/>
          <w:color w:val="000000"/>
        </w:rPr>
        <w:t>要点提示：</w:t>
      </w:r>
    </w:p>
    <w:p w14:paraId="42C93C8D">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为了规范私募投资基金管理人、私募投资基金托管人向投资者提供信息的行为，保护投资者合法权益，促进私募投资基金行业规范健康发展，根据《中华人民共和国证券投资基金法》《私募投资基金监督管理条例》（以下简称《私募条例》）等法律、行政法规，制定本办法。</w:t>
      </w:r>
    </w:p>
    <w:p w14:paraId="3D24B9A6">
      <w:pPr>
        <w:pStyle w:val="11"/>
        <w:spacing w:line="480" w:lineRule="exact"/>
        <w:ind w:firstLine="482" w:firstLineChars="200"/>
        <w:rPr>
          <w:rFonts w:hint="default" w:ascii="宋体" w:hAnsi="宋体" w:eastAsia="宋体" w:cs="宋体"/>
          <w:b/>
          <w:bCs/>
          <w:color w:val="000000"/>
        </w:rPr>
      </w:pPr>
      <w:r>
        <w:rPr>
          <w:rFonts w:ascii="宋体" w:hAnsi="宋体" w:eastAsia="宋体" w:cs="宋体"/>
          <w:b/>
          <w:bCs/>
          <w:color w:val="000000"/>
        </w:rPr>
        <w:t>2.2026年4月21日，中国人民银行、工业和信息化部、市场监管总局、金融监管总局、中国证监会、国家知识产权局、国家网信办、国家外汇管理局联合制定《金融产品网络营销管理办法》（自2026年9月30日起施行</w:t>
      </w:r>
      <w:r>
        <w:rPr>
          <w:rFonts w:hint="eastAsia" w:ascii="宋体" w:hAnsi="宋体" w:eastAsia="宋体" w:cs="宋体"/>
          <w:b/>
          <w:bCs/>
          <w:color w:val="000000"/>
          <w:lang w:eastAsia="zh-CN"/>
        </w:rPr>
        <w:t>）。</w:t>
      </w:r>
    </w:p>
    <w:p w14:paraId="44F2F9A2">
      <w:pPr>
        <w:pStyle w:val="11"/>
        <w:spacing w:line="480" w:lineRule="exact"/>
        <w:ind w:firstLine="482" w:firstLineChars="200"/>
        <w:rPr>
          <w:rFonts w:hint="default" w:ascii="宋体" w:hAnsi="宋体" w:eastAsia="宋体" w:cs="宋体"/>
          <w:b/>
          <w:bCs/>
          <w:color w:val="000000"/>
        </w:rPr>
      </w:pPr>
      <w:r>
        <w:rPr>
          <w:rFonts w:ascii="宋体" w:hAnsi="宋体" w:eastAsia="宋体" w:cs="宋体"/>
          <w:b/>
          <w:bCs/>
          <w:color w:val="000000"/>
        </w:rPr>
        <w:t>要点提示：</w:t>
      </w:r>
    </w:p>
    <w:p w14:paraId="385F9E02">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为规范金融产品网络营销活动，保障金融消费者和投资者合法权益，促进互联网金融业务健康有序发展，中国人民银行、工业和信息化部、市场监管总局、金融监管总局、中国证监会、国家知识产权局、国家网信办、国家外汇管理局制定了</w:t>
      </w:r>
      <w:r>
        <w:fldChar w:fldCharType="begin"/>
      </w:r>
      <w:r>
        <w:instrText xml:space="preserve"> HYPERLINK "https://law.wkinfo.com.cn/document/show?collection=legislation&amp;aid=MTAxMDA1OTc2NDY=&amp;language=%E4%B8%AD%E6%96%87" \t "https://law.wkinfo.com.cn/legislation/detail/_blank" </w:instrText>
      </w:r>
      <w:r>
        <w:fldChar w:fldCharType="separate"/>
      </w:r>
      <w:r>
        <w:rPr>
          <w:rFonts w:ascii="宋体" w:hAnsi="宋体" w:eastAsia="宋体" w:cs="宋体"/>
          <w:color w:val="000000"/>
        </w:rPr>
        <w:t>《金融产品网络营销管理办法》</w:t>
      </w:r>
      <w:r>
        <w:rPr>
          <w:rFonts w:ascii="宋体" w:hAnsi="宋体" w:eastAsia="宋体" w:cs="宋体"/>
          <w:color w:val="000000"/>
        </w:rPr>
        <w:fldChar w:fldCharType="end"/>
      </w:r>
      <w:r>
        <w:rPr>
          <w:rFonts w:ascii="宋体" w:hAnsi="宋体" w:eastAsia="宋体" w:cs="宋体"/>
          <w:color w:val="000000"/>
        </w:rPr>
        <w:t>，现予以公布，自2026年9月30日起实施。</w:t>
      </w:r>
    </w:p>
    <w:p w14:paraId="473D8A9E">
      <w:pPr>
        <w:pStyle w:val="11"/>
        <w:spacing w:line="480" w:lineRule="exact"/>
        <w:ind w:firstLine="482" w:firstLineChars="200"/>
        <w:rPr>
          <w:rFonts w:hint="default" w:ascii="宋体" w:hAnsi="宋体" w:eastAsia="宋体" w:cs="宋体"/>
          <w:b/>
          <w:bCs/>
          <w:color w:val="000000"/>
        </w:rPr>
      </w:pPr>
      <w:r>
        <w:rPr>
          <w:rFonts w:ascii="宋体" w:hAnsi="宋体" w:eastAsia="宋体" w:cs="宋体"/>
          <w:b/>
          <w:bCs/>
          <w:color w:val="000000"/>
        </w:rPr>
        <w:t>3.2026年8月10日，国务院发布《住房公积金管理条例》（自2026年9月20日起施行）。</w:t>
      </w:r>
    </w:p>
    <w:p w14:paraId="1EFBABB6">
      <w:pPr>
        <w:pStyle w:val="11"/>
        <w:spacing w:line="480" w:lineRule="exact"/>
        <w:ind w:firstLine="482" w:firstLineChars="200"/>
        <w:rPr>
          <w:rFonts w:hint="default" w:ascii="宋体" w:hAnsi="宋体" w:eastAsia="宋体" w:cs="宋体"/>
          <w:b/>
          <w:bCs/>
          <w:color w:val="000000"/>
        </w:rPr>
      </w:pPr>
      <w:r>
        <w:rPr>
          <w:rFonts w:hint="default" w:ascii="宋体" w:hAnsi="宋体" w:eastAsia="宋体" w:cs="宋体"/>
          <w:b/>
          <w:bCs/>
          <w:color w:val="000000"/>
        </w:rPr>
        <w:t>要点提示：</w:t>
      </w:r>
    </w:p>
    <w:p w14:paraId="37F73691">
      <w:pPr>
        <w:pStyle w:val="11"/>
        <w:spacing w:line="480" w:lineRule="exact"/>
        <w:ind w:firstLine="480" w:firstLineChars="200"/>
        <w:rPr>
          <w:rFonts w:hint="default" w:ascii="宋体" w:hAnsi="宋体" w:eastAsia="宋体" w:cs="宋体"/>
          <w:color w:val="000000"/>
        </w:rPr>
      </w:pPr>
      <w:r>
        <w:rPr>
          <w:rFonts w:hint="default" w:ascii="宋体" w:hAnsi="宋体" w:eastAsia="宋体" w:cs="宋体"/>
          <w:color w:val="000000"/>
        </w:rPr>
        <w:t>一是拓宽提取和使用范围。对提取住房公积金支付房租，不再设置房租超过家庭工资收入规定比例的门槛限制；新增装修自住住房、支付自住住房物业费、国务院批准的其他住房消费情形等可以提取住房公积金的情形。适当拓宽住房公积金投资运用渠道，明确住房公积金管理中心可以将住房公积金用于购买政策性金融债。</w:t>
      </w:r>
    </w:p>
    <w:p w14:paraId="21F51D2A">
      <w:pPr>
        <w:pStyle w:val="11"/>
        <w:spacing w:line="480" w:lineRule="exact"/>
        <w:ind w:firstLine="480" w:firstLineChars="200"/>
        <w:rPr>
          <w:rFonts w:hint="default" w:ascii="宋体" w:hAnsi="宋体" w:eastAsia="宋体" w:cs="宋体"/>
          <w:color w:val="000000"/>
        </w:rPr>
      </w:pPr>
      <w:r>
        <w:rPr>
          <w:rFonts w:hint="default" w:ascii="宋体" w:hAnsi="宋体" w:eastAsia="宋体" w:cs="宋体"/>
          <w:color w:val="000000"/>
        </w:rPr>
        <w:t>二是提升管理服务效能。简化职工申请提取住房公积金的手续，缩短住房公积金贷款申请的审查时限，实现住房公积金缴存记录等全国范围内互信互认，推动住房公积金转移接续、异地贷款等业务便捷高效办理。</w:t>
      </w:r>
    </w:p>
    <w:p w14:paraId="536C887B">
      <w:pPr>
        <w:pStyle w:val="11"/>
        <w:spacing w:line="480" w:lineRule="exact"/>
        <w:ind w:firstLine="480" w:firstLineChars="200"/>
        <w:rPr>
          <w:rFonts w:hint="default" w:ascii="宋体" w:hAnsi="宋体" w:eastAsia="宋体" w:cs="宋体"/>
          <w:color w:val="000000"/>
        </w:rPr>
      </w:pPr>
      <w:r>
        <w:rPr>
          <w:rFonts w:hint="default" w:ascii="宋体" w:hAnsi="宋体" w:eastAsia="宋体" w:cs="宋体"/>
          <w:color w:val="000000"/>
        </w:rPr>
        <w:t>三是强化风险防控。国务院住房城乡建设主管部门确定住房公积金领域公共信用信息，住房公积金管理中心建立全面完整准确的信用记录并纳入全国信用信息共享平台；对以欺诈、伪造证明材料等手段违法提取住房公积金、获得住房公积金贷款的行为，规定了明确的法律责任。</w:t>
      </w:r>
    </w:p>
    <w:p w14:paraId="05BCC7AE">
      <w:pPr>
        <w:pStyle w:val="11"/>
        <w:spacing w:line="480" w:lineRule="exact"/>
        <w:ind w:firstLine="480" w:firstLineChars="200"/>
        <w:rPr>
          <w:rFonts w:hint="default" w:ascii="宋体" w:hAnsi="宋体" w:eastAsia="宋体" w:cs="宋体"/>
          <w:color w:val="000000"/>
        </w:rPr>
      </w:pPr>
      <w:r>
        <w:rPr>
          <w:rFonts w:hint="default" w:ascii="宋体" w:hAnsi="宋体" w:eastAsia="宋体" w:cs="宋体"/>
          <w:color w:val="000000"/>
        </w:rPr>
        <w:t>四是扩大制度覆盖面。明确个体工商户、非全日制从业人员以及其他灵活就业人员可以自愿缴存住房公积金，按照规定享受相应的政策支持。</w:t>
      </w:r>
    </w:p>
    <w:p w14:paraId="36450E64">
      <w:pPr>
        <w:pStyle w:val="11"/>
        <w:spacing w:line="480" w:lineRule="exact"/>
        <w:ind w:firstLine="482" w:firstLineChars="200"/>
        <w:rPr>
          <w:rFonts w:hint="default" w:ascii="宋体" w:hAnsi="宋体" w:eastAsia="宋体" w:cs="宋体"/>
          <w:b/>
          <w:bCs/>
          <w:color w:val="000000"/>
        </w:rPr>
      </w:pPr>
      <w:r>
        <w:rPr>
          <w:rFonts w:ascii="宋体" w:hAnsi="宋体" w:eastAsia="宋体" w:cs="宋体"/>
          <w:b/>
          <w:bCs/>
          <w:color w:val="000000"/>
        </w:rPr>
        <w:t>4.2026年8月19日，最高人民法院审判委员会第1976次会议通过的</w:t>
      </w:r>
      <w:r>
        <w:fldChar w:fldCharType="begin"/>
      </w:r>
      <w:r>
        <w:instrText xml:space="preserve"> HYPERLINK "https://law.wkinfo.com.cn/document/show?collection=legislation&amp;aid=MTAwMTc1NzUxMjU=&amp;language=%E4%B8%AD%E6%96%87" \t "https://law.wkinfo.com.cn/legislation/detail/_blank" </w:instrText>
      </w:r>
      <w:r>
        <w:fldChar w:fldCharType="separate"/>
      </w:r>
      <w:r>
        <w:rPr>
          <w:rFonts w:ascii="宋体" w:hAnsi="宋体" w:eastAsia="宋体" w:cs="宋体"/>
          <w:b/>
          <w:bCs/>
          <w:color w:val="000000"/>
        </w:rPr>
        <w:t>《最高人民法院关于审理著作权民事纠纷案件适用法律若干问题的解释》</w:t>
      </w:r>
      <w:r>
        <w:rPr>
          <w:rFonts w:ascii="宋体" w:hAnsi="宋体" w:eastAsia="宋体" w:cs="宋体"/>
          <w:b/>
          <w:bCs/>
          <w:color w:val="000000"/>
        </w:rPr>
        <w:fldChar w:fldCharType="end"/>
      </w:r>
      <w:r>
        <w:rPr>
          <w:rFonts w:ascii="宋体" w:hAnsi="宋体" w:eastAsia="宋体" w:cs="宋体"/>
          <w:b/>
          <w:bCs/>
          <w:color w:val="000000"/>
        </w:rPr>
        <w:t>（自2026年9月1日起施行）。</w:t>
      </w:r>
    </w:p>
    <w:p w14:paraId="1245E44E">
      <w:pPr>
        <w:pStyle w:val="11"/>
        <w:spacing w:line="480" w:lineRule="exact"/>
        <w:ind w:firstLine="482" w:firstLineChars="200"/>
        <w:rPr>
          <w:rFonts w:hint="default" w:ascii="宋体" w:hAnsi="宋体" w:eastAsia="宋体" w:cs="宋体"/>
          <w:b/>
          <w:bCs/>
          <w:color w:val="000000"/>
        </w:rPr>
      </w:pPr>
      <w:r>
        <w:rPr>
          <w:rFonts w:ascii="宋体" w:hAnsi="宋体" w:eastAsia="宋体" w:cs="宋体"/>
          <w:b/>
          <w:bCs/>
          <w:color w:val="000000"/>
        </w:rPr>
        <w:t>要点提示：</w:t>
      </w:r>
    </w:p>
    <w:p w14:paraId="1E542CE0">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一是进一步明确“公之于众”的认定标准。删去原司法解释第九条中“著作权人自行或者经著作权人许可”的限定，将“公之于众”明确为将作品向不特定的人公开，但不以公众知晓为构成要件。主要考虑是，目前知识产权理论界和司法实践均认可，作品因他人侵权行为而被公开也属于公之于众。</w:t>
      </w:r>
    </w:p>
    <w:p w14:paraId="1E4A4B1E">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二是进一步细化合理使用的适用规则。将原司法解释第十八条规定的“室外公共场所的艺术作品”修改为“公共场所的艺术作品”，与2020年修正的著作权法第二十四条第一款第十项的规定保持一致。同时，增加但书规定，明确对公共场所艺术作品的临摹、绘画、摄影、录像人，可以对其成果依法以合理的方式和范围再行使用，但是未经著作权人许可不得以相同方式设置、陈列或者公开传播。作出上述修改的主要考虑是，著作权法第二十四条第一款删除了“公开场所”的限定词“室外”，公开场所的范围扩大，涵盖了公共及商业性的美术馆、展览馆等，因此需要对“合理的使用方式和范围”进行限制，在保障合理使用空间的同时避免挫伤著作权人展览作品的积极性。</w:t>
      </w:r>
    </w:p>
    <w:p w14:paraId="23308B27">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三是进一步明确报刊转载法定许可的适用范围。将原司法解释第十七条“报纸、期刊”的范围明确为“报纸、期刊主管部门批准出版的纸质报纸、期刊以及与其内容和版面格式相一致的数字化版本”，以适应网络和数字技术发展需要。同时增加一款，明确报纸、期刊与互联网信息服务提供者之间相互转载、互联网信息服务提供者之间相互转载已发表的作品，不适用前款规定，应当经过著作权人许可并支付报酬。作出上述修改的主要考虑是，当前报纸、期刊行业在经营模式上已经从传统纸质媒体扩展到网络数字媒体，将报纸、期刊版面以原格式通过信息网络传播可以视为纸质转载方式的合理延伸，被诉侵权人可以援引著作权法第三十五条第二款规定的法定许可进行抗辩。除了上述情形以外，以其他形式将报纸、期刊内容通过信息网络传播的，不适用报刊转载法定许可。</w:t>
      </w:r>
    </w:p>
    <w:p w14:paraId="18571510">
      <w:pPr>
        <w:pStyle w:val="11"/>
        <w:spacing w:line="480" w:lineRule="exact"/>
        <w:ind w:firstLine="482" w:firstLineChars="200"/>
        <w:outlineLvl w:val="0"/>
        <w:rPr>
          <w:rFonts w:hint="default" w:ascii="宋体" w:hAnsi="宋体" w:eastAsia="宋体" w:cs="宋体"/>
          <w:b/>
          <w:bCs/>
          <w:color w:val="FFFFFF"/>
          <w:kern w:val="2"/>
          <w:highlight w:val="blue"/>
        </w:rPr>
      </w:pPr>
      <w:r>
        <w:rPr>
          <w:rFonts w:ascii="宋体" w:hAnsi="宋体" w:eastAsia="宋体" w:cs="宋体"/>
          <w:b/>
          <w:bCs/>
          <w:color w:val="FFFFFF"/>
          <w:kern w:val="2"/>
          <w:highlight w:val="blue"/>
        </w:rPr>
        <w:t>二、典型示范案例解析</w:t>
      </w:r>
    </w:p>
    <w:p w14:paraId="5FCFBBA3">
      <w:pPr>
        <w:adjustRightInd w:val="0"/>
        <w:snapToGrid w:val="0"/>
        <w:spacing w:line="480" w:lineRule="exact"/>
        <w:ind w:firstLine="482" w:firstLineChars="200"/>
        <w:rPr>
          <w:rFonts w:ascii="宋体" w:hAnsi="宋体" w:cs="黑体"/>
          <w:b/>
          <w:bCs/>
          <w:kern w:val="2"/>
          <w:sz w:val="24"/>
          <w:szCs w:val="24"/>
          <w:lang w:eastAsia="zh-CN"/>
        </w:rPr>
      </w:pPr>
      <w:r>
        <w:rPr>
          <w:rFonts w:hint="eastAsia" w:ascii="宋体" w:hAnsi="宋体" w:cs="宋体"/>
          <w:b/>
          <w:color w:val="000000"/>
          <w:sz w:val="24"/>
          <w:szCs w:val="24"/>
          <w:lang w:eastAsia="zh-CN"/>
        </w:rPr>
        <w:t>案例1：陈某海诉浙江某科技股份有限公司等公司决议纠纷案</w:t>
      </w:r>
      <w:r>
        <w:rPr>
          <w:rFonts w:hint="eastAsia" w:ascii="宋体" w:hAnsi="宋体" w:cs="黑体"/>
          <w:b/>
          <w:bCs/>
          <w:kern w:val="2"/>
          <w:sz w:val="24"/>
          <w:szCs w:val="24"/>
          <w:lang w:eastAsia="zh-CN"/>
        </w:rPr>
        <w:t>【案号：（2015）最高法民申2724号，入库编号：2024-08-2-270-004】</w:t>
      </w:r>
    </w:p>
    <w:p w14:paraId="3F5E383A">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裁判理由：</w:t>
      </w:r>
    </w:p>
    <w:p w14:paraId="1C9FE503">
      <w:pPr>
        <w:pStyle w:val="11"/>
        <w:spacing w:line="480" w:lineRule="exact"/>
        <w:ind w:firstLine="480" w:firstLineChars="200"/>
        <w:rPr>
          <w:rFonts w:hint="default" w:ascii="宋体" w:hAnsi="宋体" w:eastAsia="宋体" w:cs="宋体"/>
          <w:bCs/>
          <w:color w:val="000000"/>
        </w:rPr>
      </w:pPr>
      <w:r>
        <w:rPr>
          <w:rFonts w:ascii="宋体" w:hAnsi="宋体" w:eastAsia="宋体" w:cs="宋体"/>
          <w:color w:val="000000"/>
        </w:rPr>
        <w:t>法</w:t>
      </w:r>
      <w:r>
        <w:rPr>
          <w:rFonts w:ascii="宋体" w:hAnsi="宋体" w:eastAsia="宋体" w:cs="宋体"/>
          <w:bCs/>
          <w:color w:val="000000"/>
        </w:rPr>
        <w:t>院生效裁判认为，首先，虽然落款时间为2012年7月29日的《股东会议决议》中没有陈某海的签名，但该《股东会决议》所载明的内容，即浙江某科技股份有限公司支付3097900元用于购买北京某电公司在中国大陆独家地底通信智慧专利知识使用权和商标使用权，以及浙江某科技股份有限公司与北京天电公司间就此决议已经履行的事实已经生效的（2014）浙湖商初字第14号民事判决认定，故该股东会决议的事项已实际履行。</w:t>
      </w:r>
      <w:r>
        <w:rPr>
          <w:rFonts w:hint="default" w:ascii="宋体" w:hAnsi="宋体" w:eastAsia="宋体" w:cs="宋体"/>
          <w:bCs/>
          <w:color w:val="000000"/>
        </w:rPr>
        <w:br w:type="textWrapping"/>
      </w:r>
      <w:r>
        <w:rPr>
          <w:rFonts w:hint="default" w:ascii="宋体" w:hAnsi="宋体" w:eastAsia="宋体" w:cs="宋体"/>
          <w:bCs/>
          <w:color w:val="000000"/>
        </w:rPr>
        <w:t>　　其次，根据陈某海与天某通北京公司的法定代表人方某铮往来的邮件内容可知，陈某海知晓并同意浙江某科技股份有限公司以3097900元的价格购买北京某电公司知识产权一事，且陈某海亦参与了3097900元款项的支付。因此，虽然陈某海未在案涉《股东会议决议》中签名，但其行为表明其已对决议中的相关事实予以接受认可。现陈某海以《股东会议决议》系伪造为由要求确认无效，缺乏事实依据，人民法院不予支持。</w:t>
      </w:r>
    </w:p>
    <w:p w14:paraId="3D2152B2">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裁判要旨：</w:t>
      </w:r>
    </w:p>
    <w:p w14:paraId="426E4FC1">
      <w:pPr>
        <w:adjustRightInd w:val="0"/>
        <w:snapToGrid w:val="0"/>
        <w:spacing w:line="480" w:lineRule="exact"/>
        <w:ind w:firstLine="480" w:firstLineChars="200"/>
        <w:rPr>
          <w:rFonts w:ascii="宋体" w:hAnsi="宋体" w:cs="宋体"/>
          <w:bCs/>
          <w:color w:val="000000"/>
          <w:sz w:val="24"/>
          <w:szCs w:val="24"/>
          <w:lang w:eastAsia="zh-CN"/>
        </w:rPr>
      </w:pPr>
      <w:r>
        <w:rPr>
          <w:rFonts w:hint="eastAsia" w:ascii="宋体" w:hAnsi="宋体" w:cs="宋体"/>
          <w:color w:val="000000"/>
          <w:sz w:val="24"/>
          <w:szCs w:val="24"/>
          <w:lang w:eastAsia="zh-CN"/>
        </w:rPr>
        <w:t>股东虽未在股东会决议上签字，但实际履行决议内容，以行为表明其已对决议中的相关事实予以认可。该股东主张决议无效的，人民法院不予支持。</w:t>
      </w:r>
    </w:p>
    <w:p w14:paraId="1CF677D5">
      <w:pPr>
        <w:adjustRightInd w:val="0"/>
        <w:snapToGrid w:val="0"/>
        <w:spacing w:line="480" w:lineRule="exact"/>
        <w:ind w:firstLine="482" w:firstLineChars="200"/>
        <w:rPr>
          <w:rFonts w:ascii="宋体" w:hAnsi="宋体" w:cs="宋体"/>
          <w:b/>
          <w:color w:val="000000"/>
          <w:sz w:val="24"/>
          <w:szCs w:val="24"/>
          <w:lang w:eastAsia="zh-CN"/>
        </w:rPr>
      </w:pPr>
      <w:r>
        <w:rPr>
          <w:rFonts w:hint="eastAsia" w:ascii="宋体" w:hAnsi="宋体" w:cs="宋体"/>
          <w:b/>
          <w:color w:val="000000"/>
          <w:sz w:val="24"/>
          <w:szCs w:val="24"/>
          <w:lang w:eastAsia="zh-CN"/>
        </w:rPr>
        <w:t>案例2：</w:t>
      </w:r>
      <w:r>
        <w:rPr>
          <w:rStyle w:val="9"/>
          <w:rFonts w:hint="eastAsia" w:ascii="宋体" w:hAnsi="宋体" w:cs="宋体"/>
          <w:spacing w:val="5"/>
          <w:sz w:val="24"/>
          <w:szCs w:val="24"/>
          <w:shd w:val="clear" w:color="auto" w:fill="FFFFFF"/>
          <w:lang w:eastAsia="zh-CN"/>
        </w:rPr>
        <w:t>上海某某企业管理咨询有限公司诉上海某某企业管理有限公司公司决议撤销纠纷案</w:t>
      </w:r>
      <w:r>
        <w:rPr>
          <w:rFonts w:hint="eastAsia" w:ascii="宋体" w:hAnsi="宋体" w:cs="黑体"/>
          <w:b/>
          <w:kern w:val="2"/>
          <w:sz w:val="24"/>
          <w:szCs w:val="24"/>
          <w:lang w:eastAsia="zh-CN"/>
        </w:rPr>
        <w:t>【案号：（2019）沪民终4260号，入库编号：2024-08-2-270-002】</w:t>
      </w:r>
    </w:p>
    <w:p w14:paraId="365FDC41">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裁判理由：</w:t>
      </w:r>
    </w:p>
    <w:p w14:paraId="07DFB3A0">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法院生效判决认为，上海某某企管公司章程第八条、第十三条、第十四条、第十五条、第十九条所规定的条款，性质上均为公司组织机构方面的规定，属公司治理结构范畴，是公司所有者（即股东）对公司的经营管理及绩效改进进行监督、激励、控制和协调的一整套制度安排，通常由股东会、董事会（或执行董事）、经理层和监事会（或监事）组成，而每个机构的职权则由公司法及公司章程进行规定</w:t>
      </w:r>
      <w:bookmarkStart w:id="0" w:name="_GoBack"/>
      <w:bookmarkEnd w:id="0"/>
      <w:r>
        <w:rPr>
          <w:rFonts w:ascii="宋体" w:hAnsi="宋体" w:eastAsia="宋体" w:cs="宋体"/>
          <w:color w:val="000000"/>
        </w:rPr>
        <w:t>，并会因章程规定的不同而有所区别。各机构依据法律或章程所赋予的职权范围运作，彼此间既协作又相互制衡。具体到上海某某企管公司，从其章程中关于股东会、董事会（或董事长）、总经理的职权范围的规定来看，公司实行总经理负责制，总经理由小股东上海某某企管咨询公司委派，全面负责公司经营管理，董事会有权聘任或者解聘总经理，可以看出小股东上海某某企管咨询公司在经营权控制、防止大股东西藏某某企管公司滥用表决权优势的考虑以及西藏某某企管公司就此作出的权利让渡，而相关制度安排应该在公司运作中被尊重和遵循。</w:t>
      </w:r>
    </w:p>
    <w:p w14:paraId="1AA52B58">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系争决议共十项，第1项是关于公司印章、证照、重要文件的保管及管理，其中上海某某企管咨询公司与西藏某某企管公司已另行就共管公司印章达成合意，故不属于公司章程第十五条所规定的由董事会批准的基本管理制度，而证照、重要文件的保管及管理问题，在公司章程中没有规定；第2项决定公司对外签订的合同由董事长审批，本属章程第十九条规定的总经理职权范围；第3项决定所有资金、费用的支出由董事长审批，而依照公司章程第十五条及第十九条的规定，董事长只审批月度预算之外的费用支出，其他资金、费用的支出由总经理审批；第4项决定将公司办公地址全部搬迁至1号楼，原用办公室对外出租，原用办公室即章程第四条规定的住所，迁至他处并将该场所对外出租，应视为公司住所的实质变更；第5项关于通知各租户暂缓缴纳租金、第6项关于与案外两公司协商由其暂时收取租金、第7项同案外人商洽拖欠的租金支付事宜、第8项关于同总包方洽谈落实工程款支付等事宜、第9项关于解除物业管理合同等事宜，均应属于公司章程第十九条规定的总经理所负责的生产经营管理工作范围；第10项解聘汤某总经理职务，暂时由董事长余某代理总经理职务，代为履行总经理职权，上海某某企管公司章程规定董事会有权解聘总经理，但并未规定总经理被解聘后由董事长代行总经理职权，而一旦允许由西藏某某企管公司委派的董事长代行总经理职权，将导致上海某某企管咨询公司基本丧失对上海某某企管公司的经营管理权，总经理负责制名存实亡。</w:t>
      </w:r>
    </w:p>
    <w:p w14:paraId="16917418">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通过上文将系争决议的内容逐项与上海某某企管公司的章程进行比照后，法院认为，根据上海某某企管公司章程的规定，修改公司章程是股东会的职权范围，修改公司章程的决议必须经全体股东一致同意。因此，十项决议中，除了解聘汤某总经理职务外的其余决议事项均构成对上海某某企管公司章程有关规定的实质性变更，依法应予撤销。上海某某企管公司根据系争决议已办理变更登记的，应向公司登记机关申请撤销变更登记。</w:t>
      </w:r>
    </w:p>
    <w:p w14:paraId="651F8553">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裁判要旨：</w:t>
      </w:r>
    </w:p>
    <w:p w14:paraId="054A9B5F">
      <w:pPr>
        <w:pStyle w:val="11"/>
        <w:spacing w:line="480" w:lineRule="exact"/>
        <w:ind w:firstLine="480" w:firstLineChars="200"/>
        <w:rPr>
          <w:rFonts w:hint="default" w:ascii="宋体" w:hAnsi="宋体" w:eastAsia="宋体" w:cs="宋体"/>
          <w:bCs/>
          <w:color w:val="000000"/>
        </w:rPr>
      </w:pPr>
      <w:r>
        <w:rPr>
          <w:rFonts w:ascii="宋体" w:hAnsi="宋体" w:eastAsia="宋体" w:cs="宋体"/>
          <w:color w:val="000000"/>
        </w:rPr>
        <w:t>在审查封闭公司的董事会决议应否撤销时，如果结合公司法及公司章程的规定判断出决议内容构成对公司章程的实质性修改，则相关决议应属股东会而非董事会的职权范围，应予撤销。</w:t>
      </w:r>
    </w:p>
    <w:p w14:paraId="1A37334D">
      <w:pPr>
        <w:adjustRightInd w:val="0"/>
        <w:snapToGrid w:val="0"/>
        <w:spacing w:line="480" w:lineRule="exact"/>
        <w:ind w:firstLine="482" w:firstLineChars="200"/>
        <w:rPr>
          <w:rFonts w:ascii="宋体" w:hAnsi="宋体" w:cs="宋体"/>
          <w:b/>
          <w:bCs/>
          <w:kern w:val="2"/>
          <w:sz w:val="24"/>
          <w:szCs w:val="24"/>
          <w:lang w:eastAsia="zh-CN"/>
        </w:rPr>
      </w:pPr>
      <w:r>
        <w:rPr>
          <w:rFonts w:hint="eastAsia" w:ascii="宋体" w:hAnsi="宋体" w:cs="宋体"/>
          <w:b/>
          <w:bCs/>
          <w:kern w:val="2"/>
          <w:sz w:val="24"/>
          <w:szCs w:val="24"/>
          <w:lang w:eastAsia="zh-CN"/>
        </w:rPr>
        <w:t>案例3：</w:t>
      </w:r>
      <w:r>
        <w:rPr>
          <w:rStyle w:val="9"/>
          <w:rFonts w:hint="eastAsia" w:ascii="宋体" w:hAnsi="宋体" w:cs="宋体"/>
          <w:spacing w:val="5"/>
          <w:sz w:val="24"/>
          <w:szCs w:val="24"/>
          <w:shd w:val="clear" w:color="auto" w:fill="FFFFFF"/>
          <w:lang w:eastAsia="zh-CN"/>
        </w:rPr>
        <w:t>吴某诉北京某某公司等公司决议纠纷案</w:t>
      </w:r>
      <w:r>
        <w:rPr>
          <w:rFonts w:hint="eastAsia" w:ascii="宋体" w:hAnsi="宋体" w:cs="黑体"/>
          <w:b/>
          <w:kern w:val="2"/>
          <w:sz w:val="24"/>
          <w:szCs w:val="24"/>
          <w:lang w:eastAsia="zh-CN"/>
        </w:rPr>
        <w:t>【案号：（2020）京03民终5136号，入库编号：2024-08-2-270-001</w:t>
      </w:r>
      <w:r>
        <w:rPr>
          <w:rFonts w:hint="eastAsia" w:ascii="宋体" w:hAnsi="宋体" w:cs="黑体"/>
          <w:kern w:val="2"/>
          <w:sz w:val="24"/>
          <w:szCs w:val="24"/>
          <w:lang w:eastAsia="zh-CN"/>
        </w:rPr>
        <w:t>】</w:t>
      </w:r>
    </w:p>
    <w:p w14:paraId="52B7D5C2">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裁判理由：</w:t>
      </w:r>
    </w:p>
    <w:p w14:paraId="17C91A30">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法院生效裁判认为：本案的争议焦点是：（1）某某乙公司基于诉争《框架协议》的安排受让某某公司股权行为性质是否构成让与担保；（2）如某某乙公司基于《框架协议》约定受让某某公司股权构成股权让与担保，某某乙公司就该让与担保部分的股权是否享有表决权。</w:t>
      </w:r>
    </w:p>
    <w:p w14:paraId="0DFF7E8E">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关于第一个争议焦点，对涉案《框架协议》中所约定的股权转让条款的性质认定，不能仅仅看合同的形式或名称，而要探究当事人的真实意思表示，而对于合同当事人的意思表示的解释应当以客观立场作为原则性评价标准。因双方让渡股权的根本目的在于担保债权人债权的实现，该条款在性质上属于股权让与担保。作为一种非典型担保方式，股权让与担保行为本身并未违反法律、行政法规的强制性规定，应认定合法有效。</w:t>
      </w:r>
    </w:p>
    <w:p w14:paraId="1EFBA0F9">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关于第二个争议焦点，即某某乙公司就该让与担保部分的股权是否享有表决权。让与担保与财产权转让在法律性质上存有实质性区别，财产权转让的受让人是以获得财产权利为目的，而让与担保的债权人受让财产的目的在于为主债权提供担保，在主债权不能实现时可以受让的财产权价值优先受偿，且债权人通常无须支付受让财产权的对价。因此，债权人于形式上受让的财产权一般会受到一定的权利限制。股权让与担保就更具其特殊性，因为股权为兼具财产权和成员权属性的复合型权利。公司股东可就其享有的股权参与公司分红，亦通过其股东表决权参与公司的经营管理。而股权让与担保的债权人以受让或增资的方式取得股权，是期待以股权价值担保其债权未来可以实现，侧重于防范债务人通过行使股东权利对公司资产进行不当处置，从而导致其债权无法实现；债权人并非以成为公司股东，参与管理、获取分红为直接目的。因此，债权人虽在形式上为公司名义股东，但其仅在担保范围内享有优先受偿的权利，并不享有公司法规定的股东所享有的参与决策、获得股东红利等实质性权利。</w:t>
      </w:r>
    </w:p>
    <w:p w14:paraId="71904392">
      <w:pPr>
        <w:pStyle w:val="11"/>
        <w:spacing w:line="480" w:lineRule="exact"/>
        <w:ind w:firstLine="480" w:firstLineChars="200"/>
        <w:rPr>
          <w:rFonts w:hint="default" w:ascii="宋体" w:hAnsi="宋体" w:eastAsia="宋体" w:cs="宋体"/>
          <w:bCs/>
          <w:color w:val="000000"/>
        </w:rPr>
      </w:pPr>
      <w:r>
        <w:rPr>
          <w:rFonts w:ascii="宋体" w:hAnsi="宋体" w:eastAsia="宋体" w:cs="宋体"/>
          <w:color w:val="000000"/>
        </w:rPr>
        <w:t>综上，由于诉争股东会决议表决权未达到公司法或公司章程规定的通过比例，2019年7月22日某某公司股东会决议应为不成立。一审法院认定无误，二审法院依法予以维持。</w:t>
      </w:r>
    </w:p>
    <w:p w14:paraId="467D3EE9">
      <w:pPr>
        <w:adjustRightInd w:val="0"/>
        <w:snapToGrid w:val="0"/>
        <w:spacing w:line="480" w:lineRule="exact"/>
        <w:ind w:firstLine="482" w:firstLineChars="200"/>
        <w:rPr>
          <w:rFonts w:ascii="宋体" w:hAnsi="宋体" w:cs="宋体"/>
          <w:b/>
          <w:color w:val="000000"/>
          <w:sz w:val="24"/>
          <w:szCs w:val="24"/>
          <w:lang w:eastAsia="zh-CN"/>
        </w:rPr>
      </w:pPr>
      <w:r>
        <w:rPr>
          <w:rFonts w:hint="eastAsia" w:ascii="宋体" w:hAnsi="宋体" w:cs="宋体"/>
          <w:b/>
          <w:color w:val="000000"/>
          <w:sz w:val="24"/>
          <w:szCs w:val="24"/>
          <w:lang w:eastAsia="zh-CN"/>
        </w:rPr>
        <w:t>裁判要旨：</w:t>
      </w:r>
    </w:p>
    <w:p w14:paraId="4DE348AF">
      <w:pPr>
        <w:adjustRightInd w:val="0"/>
        <w:snapToGrid w:val="0"/>
        <w:spacing w:line="480" w:lineRule="exact"/>
        <w:ind w:firstLine="480" w:firstLineChars="200"/>
        <w:rPr>
          <w:rFonts w:ascii="宋体" w:hAnsi="宋体" w:cs="宋体"/>
          <w:bCs/>
          <w:color w:val="000000"/>
          <w:sz w:val="24"/>
          <w:szCs w:val="24"/>
          <w:lang w:eastAsia="zh-CN"/>
        </w:rPr>
      </w:pPr>
      <w:r>
        <w:rPr>
          <w:rFonts w:hint="eastAsia" w:ascii="宋体" w:hAnsi="宋体" w:cs="宋体"/>
          <w:color w:val="000000"/>
          <w:sz w:val="24"/>
          <w:szCs w:val="24"/>
          <w:lang w:eastAsia="zh-CN"/>
        </w:rPr>
        <w:t>对股权转让条款性质的认定应当根据转让协议体现的各方当事人真实意思表示予以确定。若当事人之间让渡股权的根本目的在于担保债权人债权实现，则该条款性质应属于股权让与担保。股权让与担保情形中，受让股权的名义股东原则上不享有公司法规定的股东所享有的参与决策、选任管理者、分取红利等实质性股东权利，但当事人之间另有约定的除外。</w:t>
      </w:r>
    </w:p>
    <w:p w14:paraId="23684BD3">
      <w:pPr>
        <w:adjustRightInd w:val="0"/>
        <w:snapToGrid w:val="0"/>
        <w:spacing w:line="480" w:lineRule="exact"/>
        <w:ind w:firstLine="482" w:firstLineChars="200"/>
        <w:rPr>
          <w:rFonts w:ascii="宋体" w:hAnsi="宋体" w:cs="宋体"/>
          <w:b/>
          <w:bCs/>
          <w:kern w:val="2"/>
          <w:sz w:val="24"/>
          <w:szCs w:val="24"/>
          <w:lang w:eastAsia="zh-CN"/>
        </w:rPr>
      </w:pPr>
      <w:r>
        <w:rPr>
          <w:rFonts w:hint="eastAsia" w:ascii="宋体" w:hAnsi="宋体" w:cs="宋体"/>
          <w:b/>
          <w:bCs/>
          <w:kern w:val="2"/>
          <w:sz w:val="24"/>
          <w:szCs w:val="24"/>
          <w:lang w:eastAsia="zh-CN"/>
        </w:rPr>
        <w:t>案例4：</w:t>
      </w:r>
      <w:r>
        <w:rPr>
          <w:rStyle w:val="9"/>
          <w:rFonts w:hint="eastAsia" w:ascii="宋体" w:hAnsi="宋体" w:cs="宋体"/>
          <w:spacing w:val="5"/>
          <w:sz w:val="24"/>
          <w:szCs w:val="24"/>
          <w:shd w:val="clear" w:color="auto" w:fill="FFFFFF"/>
          <w:lang w:eastAsia="zh-CN"/>
        </w:rPr>
        <w:t>尤某诉无锡某有限公司股东知情权纠纷案</w:t>
      </w:r>
      <w:r>
        <w:rPr>
          <w:rFonts w:hint="eastAsia" w:ascii="宋体" w:hAnsi="宋体" w:cs="黑体"/>
          <w:b/>
          <w:kern w:val="2"/>
          <w:sz w:val="24"/>
          <w:szCs w:val="24"/>
          <w:lang w:eastAsia="zh-CN"/>
        </w:rPr>
        <w:t>【案号：（2017）苏民终1593号，入库编号：2024-08-2-267-001】</w:t>
      </w:r>
    </w:p>
    <w:p w14:paraId="7331A6DB">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裁判理由：</w:t>
      </w:r>
    </w:p>
    <w:p w14:paraId="7F41B9DF">
      <w:pPr>
        <w:pStyle w:val="11"/>
        <w:spacing w:line="480" w:lineRule="exact"/>
        <w:ind w:firstLine="480" w:firstLineChars="200"/>
        <w:rPr>
          <w:rFonts w:hint="default" w:ascii="宋体" w:hAnsi="宋体" w:eastAsia="宋体" w:cs="宋体"/>
          <w:lang w:bidi="ar"/>
        </w:rPr>
      </w:pPr>
      <w:r>
        <w:rPr>
          <w:rFonts w:ascii="宋体" w:hAnsi="宋体" w:eastAsia="宋体" w:cs="宋体"/>
          <w:lang w:bidi="ar"/>
        </w:rPr>
        <w:t>法院生效裁判认为，本案主要有两个争议焦点：一是股东出资与否对股东资格及股东知情权的行使有无影响；二是尤某起诉要求行使会计账簿查阅权前是否已履行了法定前置程序。</w:t>
      </w:r>
    </w:p>
    <w:p w14:paraId="29EA2BBB">
      <w:pPr>
        <w:pStyle w:val="11"/>
        <w:spacing w:line="480" w:lineRule="exact"/>
        <w:ind w:firstLine="480" w:firstLineChars="200"/>
        <w:rPr>
          <w:rFonts w:hint="default" w:ascii="宋体" w:hAnsi="宋体" w:eastAsia="宋体" w:cs="宋体"/>
          <w:lang w:bidi="ar"/>
        </w:rPr>
      </w:pPr>
      <w:r>
        <w:rPr>
          <w:rFonts w:ascii="宋体" w:hAnsi="宋体" w:eastAsia="宋体" w:cs="宋体"/>
          <w:lang w:bidi="ar"/>
        </w:rPr>
        <w:t>一、无锡某公司以尤某未出资否定其股东资格及知情权的行使没有依据。尤某通过受让叶某某持有的股份而成为无锡某公司的股东，经过了无锡某公司股东会议确认，并有工商部门的股东变更登记在卷佐证。无锡某公司关于尤某未出资的抗辩不能否定其具有股东资格。股东知情权是基于股东身份而拥有的固有权利，非经特别约定，一般不能予以限制。无锡某公司以尤某未出资否定其股东资格和股东知情权的行使缺乏事实和法律依据。</w:t>
      </w:r>
    </w:p>
    <w:p w14:paraId="52DB0B28">
      <w:pPr>
        <w:pStyle w:val="11"/>
        <w:spacing w:line="480" w:lineRule="exact"/>
        <w:ind w:firstLine="480" w:firstLineChars="200"/>
        <w:rPr>
          <w:rFonts w:hint="default"/>
        </w:rPr>
      </w:pPr>
      <w:r>
        <w:rPr>
          <w:rFonts w:ascii="宋体" w:hAnsi="宋体" w:eastAsia="宋体" w:cs="宋体"/>
          <w:lang w:bidi="ar"/>
        </w:rPr>
        <w:t>二、尤某诉请行使会计账簿查阅权之前已经履行了法定前置程序。《中华人民共和国公司法》第三十三条对查阅会计账簿设置了前置条件，即股东向公司提出书面请求而公司拒绝提供查阅。本案中，尤某为了解无锡某公司的经营状况，维护自身合法权益，于2016年8月16日通过全球邮政特快专递向无锡某公司及其法定代表人周某某同时寄送了《请求书》，说明了其请求行使股东知情权的相关事宜及查阅目的。其中寄给周某某的邮件已于2016年8月18日妥投，而无锡某公司无正当理由拒收邮件则应视为邮件已送达。虽两份邮件仅载明内件物品为文件，但一则结合尤某举证的《请求书》底稿的落款日期和两份邮件的交邮日期判断，从证据的高度盖然性角度可以认定邮寄的文件是《请求书》，二则寄给周某某的邮件已妥投，无锡某公司完全有能力证明其法定代表人周某某收到的文件是何内容，其不能提供反证的，则应当认定即是《请求书》。无锡某公司在收到尤某的书面请求后15日内未有回复，应视为拒绝尤某的请求，至此，尤某要求查阅会计账簿的前置程序已经完成，其可以提起诉讼以保护股东知情权的合法行使。鉴于无锡某公司无证据证明尤某查阅会计账簿有不正当目的，有损害公司合法利益的可能，故尤某的诉请应得到支持。</w:t>
      </w:r>
    </w:p>
    <w:p w14:paraId="3847D114">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裁判要旨：</w:t>
      </w:r>
    </w:p>
    <w:p w14:paraId="7CCAC587">
      <w:pPr>
        <w:adjustRightInd w:val="0"/>
        <w:snapToGrid w:val="0"/>
        <w:spacing w:line="480" w:lineRule="exact"/>
        <w:ind w:firstLine="480" w:firstLineChars="200"/>
        <w:rPr>
          <w:rFonts w:ascii="宋体" w:hAnsi="宋体" w:cs="宋体"/>
          <w:color w:val="000000"/>
          <w:sz w:val="24"/>
          <w:szCs w:val="24"/>
          <w:lang w:eastAsia="zh-CN"/>
        </w:rPr>
      </w:pPr>
      <w:r>
        <w:rPr>
          <w:rFonts w:hint="eastAsia" w:ascii="宋体" w:hAnsi="宋体" w:cs="宋体"/>
          <w:color w:val="000000"/>
          <w:sz w:val="24"/>
          <w:szCs w:val="24"/>
          <w:lang w:eastAsia="zh-CN"/>
        </w:rPr>
        <w:t>股东知情权是股东固有的法定权利，其行使的主体应具有公司股东资格。新公司法出台后，公司法的基础理论最为显著的变化即从严格的法定资本制转变为授权资本制，如果瑕疵出资并不导致公司设立无效，一般不宜轻易否定瑕疵出资者的股东资格。在一般的瑕疵出资（如未足额出资、出资评估价值不实）情形下，如果出资者具备认定股东资格诸要素中的其他任何一个，如股东名册、公司章程记载、工商登记，一般即认定其具有股东资格。在具有股东资格后，即意味着股东享有包括自益权和共益权在内的各项权利。自益权指股东以自身利益为目的行使的权利，主要表现为财产权，如按照出资比例分取红利的权利、依照法律、公司章程转让出资的权利、优先购买其他股东转让出资的权利、优先认购公司新增资本的权利、依法分配公司解散清算后的剩余财产的权利；共益权指股东依法参加公司事务的决策和经营管理的权利，是股东基于公司利益兼为自身利益行使的权利，如股东会或股东大会参加权、提案权、质询权、在股东会或股东大会上的表决权、股东会或股东大会召集请求权、临时股东大会自行召集权与主持权、了解公司事务、查阅公司账簿和其他文件的知情权、公司解散请求权等权利。</w:t>
      </w:r>
    </w:p>
    <w:p w14:paraId="362CB40C">
      <w:pPr>
        <w:adjustRightInd w:val="0"/>
        <w:snapToGrid w:val="0"/>
        <w:spacing w:line="480" w:lineRule="exact"/>
        <w:ind w:firstLine="480" w:firstLineChars="200"/>
        <w:rPr>
          <w:rFonts w:ascii="宋体" w:hAnsi="宋体" w:cs="宋体"/>
          <w:bCs/>
          <w:color w:val="000000"/>
          <w:sz w:val="24"/>
          <w:szCs w:val="24"/>
          <w:lang w:eastAsia="zh-CN"/>
        </w:rPr>
      </w:pPr>
      <w:r>
        <w:rPr>
          <w:rFonts w:hint="eastAsia" w:ascii="宋体" w:hAnsi="宋体" w:cs="宋体"/>
          <w:color w:val="000000"/>
          <w:sz w:val="24"/>
          <w:szCs w:val="24"/>
          <w:lang w:eastAsia="zh-CN"/>
        </w:rPr>
        <w:t>关于瑕疵出资股东受到的权利限制，从我国公司法的规定来看，允许公司对瑕疵出资股东予以限制的权利仅限于利润分配请求权、新股优先认购权、剩余财产分配请求权等直接获得财产利益的权利，而对股东知情权的行使并未进行禁止性规定，故股东的出资瑕疵并不必然导致股东资格的丧失，亦不影响股东知情权的行使。</w:t>
      </w:r>
    </w:p>
    <w:p w14:paraId="6C040AA5">
      <w:pPr>
        <w:adjustRightInd w:val="0"/>
        <w:snapToGrid w:val="0"/>
        <w:spacing w:line="480" w:lineRule="exact"/>
        <w:ind w:firstLine="482" w:firstLineChars="200"/>
        <w:rPr>
          <w:rFonts w:ascii="宋体" w:hAnsi="宋体" w:cs="宋体"/>
          <w:b/>
          <w:bCs/>
          <w:kern w:val="2"/>
          <w:sz w:val="24"/>
          <w:szCs w:val="24"/>
          <w:lang w:eastAsia="zh-CN"/>
        </w:rPr>
      </w:pPr>
      <w:r>
        <w:rPr>
          <w:rFonts w:hint="eastAsia" w:ascii="宋体" w:hAnsi="宋体" w:cs="宋体"/>
          <w:b/>
          <w:bCs/>
          <w:kern w:val="2"/>
          <w:sz w:val="24"/>
          <w:szCs w:val="24"/>
          <w:lang w:eastAsia="zh-CN"/>
        </w:rPr>
        <w:t>案例5：</w:t>
      </w:r>
      <w:r>
        <w:rPr>
          <w:rStyle w:val="9"/>
          <w:rFonts w:hint="eastAsia" w:ascii="宋体" w:hAnsi="宋体" w:cs="宋体"/>
          <w:spacing w:val="5"/>
          <w:sz w:val="24"/>
          <w:szCs w:val="24"/>
          <w:shd w:val="clear" w:color="auto" w:fill="FFFFFF"/>
          <w:lang w:eastAsia="zh-CN"/>
        </w:rPr>
        <w:t>苏州某光伏有限公司诉沭阳某太阳能科技有限公司、纪某乙、徐某买卖合同纠纷案</w:t>
      </w:r>
      <w:r>
        <w:rPr>
          <w:rFonts w:hint="eastAsia" w:ascii="宋体" w:hAnsi="宋体" w:cs="黑体"/>
          <w:b/>
          <w:kern w:val="2"/>
          <w:sz w:val="24"/>
          <w:szCs w:val="24"/>
          <w:lang w:eastAsia="zh-CN"/>
        </w:rPr>
        <w:t>【案号：（2018）苏0507民初4970号，入库编号：2024-08-2-084-005】</w:t>
      </w:r>
    </w:p>
    <w:p w14:paraId="7219576C">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裁判理由：</w:t>
      </w:r>
    </w:p>
    <w:p w14:paraId="513BB143">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法院生效裁判认为：某光伏公司与某科技公司经口头约定达成的买卖合同关系，系双方当事人之间的真实意思表示，不违反法律、行政法规的强制性规定，依法成立并生效，双方均应按约履行。某光伏公司为证明某科技公司尚欠其货款1898880元的事实，向法院提交2016、2017年销售明细及证明等证据。某光伏公司所举证据之间能够形成相应的证据锁链，与其庭审陈述也能够相互印证，在某科技公司未到庭提供相反主张和有力证据反驳的情况下，法院对此予以认定，某科技公司应及时支付某光伏公司货款1898880元。徐某就案涉债务向某光伏公司出具还款计划，承诺对某科技公司结欠某光伏公司的全部货款承担偿还义务，并多次以个人名义向某光伏公司法定代表人出具付款承诺，徐某的行为构成了债务加入，某光伏公司要求被告徐某对某科技公司的上述债务承担连带责任，法院予以支持。关于纪某乙应否对某科技公司的案涉货款承担连带责任问题。根据《中华人民共和国公司法》第六十三条规定：“一人有限责任公司的股东不能证明公司财产独立于股东自己的财产的，应当对公司债务承担连带责任”。纪某乙作为一人有限责任公司的股东，应举证证明公司财产独立于其个人财产，否则应对公司债务承担连带责任。纪某乙未到庭参加诉讼，亦未提供相应证据证明公司财产独立于股东自己的财产，视为其放弃应诉抗辩及举证权利，应自行承担相应的不利法律后果。某科技公司系一人有限责任公司，虽案涉债务形成于纪某乙担任某科技公司股东之前，但某科技公司的案涉债务始终存在，并未清偿，公司内部股权、资本变更并不影响其主体资格，相应的权利义务应由变更后的主体概括承受，故纪某乙作为某科技公司的独资股东，其未能举证证明某科技公司资产独立于其个人财产，应对某科技公司的案涉债务承担连带责任。</w:t>
      </w:r>
    </w:p>
    <w:p w14:paraId="7A0C27E2">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裁判要旨：</w:t>
      </w:r>
    </w:p>
    <w:p w14:paraId="3F63136B">
      <w:pPr>
        <w:pStyle w:val="11"/>
        <w:spacing w:line="480" w:lineRule="exact"/>
        <w:ind w:firstLine="480" w:firstLineChars="200"/>
        <w:rPr>
          <w:rFonts w:hint="default" w:ascii="system-ui" w:hAnsi="system-ui" w:eastAsia="system-ui" w:cs="system-ui"/>
          <w:color w:val="000000"/>
          <w:sz w:val="21"/>
          <w:szCs w:val="21"/>
        </w:rPr>
      </w:pPr>
      <w:r>
        <w:rPr>
          <w:rFonts w:ascii="宋体" w:hAnsi="宋体" w:eastAsia="宋体" w:cs="宋体"/>
          <w:color w:val="000000"/>
        </w:rPr>
        <w:t>公司内部股权、资本变更不影响其主体资格，相应的权利义务应由变更后的主体概括承受。股东受让一人公司后，对其非经营期间的债务，不能证明公司财产独立于个人财产时，应对公司债务向债权人承担连带清偿责任。</w:t>
      </w:r>
    </w:p>
    <w:p w14:paraId="56ECD58C">
      <w:pPr>
        <w:adjustRightInd w:val="0"/>
        <w:snapToGrid w:val="0"/>
        <w:spacing w:line="480" w:lineRule="exact"/>
        <w:ind w:firstLine="482" w:firstLineChars="200"/>
        <w:rPr>
          <w:rFonts w:ascii="宋体" w:hAnsi="宋体" w:cs="黑体"/>
          <w:b/>
          <w:kern w:val="2"/>
          <w:sz w:val="24"/>
          <w:szCs w:val="24"/>
          <w:lang w:eastAsia="zh-CN"/>
        </w:rPr>
      </w:pPr>
      <w:r>
        <w:rPr>
          <w:rFonts w:hint="eastAsia" w:ascii="宋体" w:hAnsi="宋体" w:cs="宋体"/>
          <w:b/>
          <w:color w:val="000000"/>
          <w:sz w:val="24"/>
          <w:szCs w:val="24"/>
          <w:lang w:eastAsia="zh-CN"/>
        </w:rPr>
        <w:t>案例6：</w:t>
      </w:r>
      <w:r>
        <w:rPr>
          <w:rStyle w:val="9"/>
          <w:rFonts w:hint="eastAsia" w:ascii="宋体" w:hAnsi="宋体" w:cs="宋体"/>
          <w:spacing w:val="5"/>
          <w:sz w:val="24"/>
          <w:szCs w:val="24"/>
          <w:shd w:val="clear" w:color="auto" w:fill="FFFFFF"/>
          <w:lang w:eastAsia="zh-CN"/>
        </w:rPr>
        <w:t>中国某资产管理公司河北省分公司与张某、刘某某、胡某某等变更追加被执行人异议之诉案</w:t>
      </w:r>
      <w:r>
        <w:rPr>
          <w:rFonts w:hint="eastAsia" w:ascii="宋体" w:hAnsi="宋体" w:cs="黑体"/>
          <w:b/>
          <w:kern w:val="2"/>
          <w:sz w:val="24"/>
          <w:szCs w:val="24"/>
          <w:lang w:eastAsia="zh-CN"/>
        </w:rPr>
        <w:t>【案号：（2022）冀民终336号，入库编号：2024-07-2-472-003】</w:t>
      </w:r>
    </w:p>
    <w:p w14:paraId="02E9A580">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裁判理由：</w:t>
      </w:r>
    </w:p>
    <w:p w14:paraId="4767462F">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法院生效裁判认为，中国某资产管理公司河北省分公司与张某、刘某某等双方当事人对河北某玻璃科技有限公司成立时1,000万元注册资金出资到位不存分歧。本案争议焦点归纳为，张某、刘某某、胡某某三位原股东以实物增加公司注册资本金8,000万元是否到位，应否追加张某、刘某某、胡某某三位原股东及侯某某、曹某某等继受股东为被执行人。</w:t>
      </w:r>
    </w:p>
    <w:p w14:paraId="2B73A06C">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首先，关于张某、刘某某提交的评估报告、验资报告，以及沙河市行政审批局的证明等证据能否证明张某、刘某某、胡某某三位股东实物增资8,000万元的事实。</w:t>
      </w:r>
    </w:p>
    <w:p w14:paraId="1549A7AF">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本案中，综合张某、刘某某所提交的证据可以看出，邢台某某资产评估事务所出具资产评估报告书载明，因河北某玻璃科技有限公司的发展以及规模的扩大，股东另外出资购建了大量设备及房产等固定资产，该资产或建构于河北某玻璃科技有限公司厂区或安装公司车间内，均已投入生产使用，经过评估人员对该资产进行实地勘察、评定估算、分析评估确定，该部分资产总价值为8,019.80万元。经过沙河某某会计师事务所有限责任公司依据相关程序进行出资审验，出具了关于河北某玻璃科技有限公司已经收到张某、刘某某、胡某某实物出资缴纳新增注册资本8,000万元，公司变更后的累计注册资本、实收资本共为9,000万元的验资报告。再结合加盖公章的沙河市行政审批局企业设立股对该增资确认的证明，以及河北某玻璃科技有限公司工商登记档案材料中《公司章程》载明的各股东认缴出资情况，国家企业信用信息公示系统、企查查、天眼查平台显示的数据信息等证据，能够确信张某、刘某某、胡某某三位股东以价值8,000万元的实物出资，且河北某玻璃科技有限公司已经实际接收、占有、使用的事实具有高度可能性或高度盖然性，足以形成对三位股东完成实物出资的内心确信，应当认定张某、刘某某、胡某某三位股东实物增资8,000万元的事实。从张某、刘某某为证明其实物增资进行的举证来看，其所提供的证据已经完成了对实物增资待证事实的证明责任，达到了认定该事实的证明标准。相反，中国某资产管理公司河北省分公司未能提交足以反驳该事实的反证，对其称验资报告、评估报告等不能反映真实的出资、不能充分证明张某、刘某某实际履行了出资义务的观点，不予采信。</w:t>
      </w:r>
    </w:p>
    <w:p w14:paraId="39257693">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其次，张某、刘某某、胡某某三位股东实物增资部分没有办理原始产权登记，也没有向河北某玻璃科技有限公司办理产权变更登记和交付占有手续，能否否定其已实缴增资到位的事实。</w:t>
      </w:r>
    </w:p>
    <w:p w14:paraId="7F1475EC">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第一，从实物出资的财产价值和使用等事实情况看，通过前面分析，本案证据能够证明河北某玻璃科技有限公司已经实际接收、占有、使用了张某、刘某某、胡某某三位股东实物增资资产，该实物资产包括厂房及宿舍、硬化地面及道路等不动产类资产和机器设备动产类资产两部分。其中，对于已经安装在河北某玻璃科技有限公司车间内投入使用的机器设备类动产资产，根据《中华人民共和国物权法》第二十三条“动产物权的设立和转让自交付时发生效力”的规定，该部分动产类机器设备已经完成了向河北某玻璃科技有限公司交付和转移，也就产生了该部分动产物权的公示效力和公信力，无需出具交付手续。为此，中国某资产管理公司河北省分公司所提机器设备也没有办理向河北某玻璃科技有限公司交付手续、权属未发生转移的观点，不予采信；</w:t>
      </w:r>
    </w:p>
    <w:p w14:paraId="23E88103">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对于河北某玻璃科技有限公司股东增资建造的厂房、宿舍及构筑物等不动产类资产，虽建造在租赁他人的土地上，但也不能如中国某资产管理公司河北省分公司所称是当然的非法建筑，相反因系建造在自己厂区内、且以生产经营为目的，也未见违反城市规划用地等相关法律规定的情形，该类不动产应属于合法建造；其虽不能办理初始产权登记，进而也不可能办理产权转移登记手续，但该不动产确具有交换价值（评估报告显示估价为2,415.91万元＋282.66万元）和使用价值。在执行实务中，无产权登记的房产也具有财产价值，将其以责任财产作为执行标的进行现状处置的案例也时有发生，本案该部分财产同样也可以此方式执行处置。另外，本案无法办理增资的不动产权属转移，有别于能够办理过户登记而故意不办理的情况，对此，张某、刘某某、胡某某三位股东并不存在主观过错，造成权属转移不能的局面并不能归责于三位股东；同时，实务中在租赁土地上建造厂房、添置设备而注册、经营公司的情况也不鲜见，如果将在合法占用他人土地上建造的无法登记产权的厂房等公司财产一律视为未出资或虚假、不实出资，在资产负债等财务会计报表中也不计入公司资产，必然损害公司所有者权益，既不公正也不符合常理；所以，本案股东增资建造厂房等不动产具有财产价值，而且事实上已经投入河北某玻璃科技有限公司的生产和使用中。从公司运行的效果上看，也实质上达到了出资的目的。</w:t>
      </w:r>
    </w:p>
    <w:p w14:paraId="30131D58">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第二，从规则适用上看，本案中虽然存在增资的不动产已经交付公司使用但无法办理产权过户登记的情形，这在形式上与《中华人民共和国公司法》（2018年修正）第二十八条的要求不符，但实质上并未违反该第二十八条旨在避免虚假出资而损害公司、他人利益之立法目的。而且从法律规范的内涵和外延上来看，本案增资不动产无法办理权属转移手续的情形，该二十八条是否包括和涉及并不明确。而从最高法院针对适用该二十八条的司法解释《最高人民法院关于适用〈中华人民共和国公司法〉若干问题的规定（三）》（法释〔2020〕18号）第十条的内容来看，该条主要是对实际交付了出资的财产但未办理权属变更登记，或者虽然办理了权属变更登记但未实际交付财产这两种情况进行的规范。而对于用无法或不能办理权属转移手续的不动产出资的，《最高人民法院关于适用〈中华人民共和国公司法〉若干问题的规定（三）》（法释〔2020〕18号）第十条也并未进行漏洞补充和规制。另外，该第十条关于人民法院对因出资人以房屋等财产出资且已经交付公司使用但未办理权属变更手续，而要求认定出资人未履行出资义务的主张，并非直接支持，而是责令出资人在指定的合理期间内办理权属变更手续，对按要求补办了手续的，应当认定其已经履行了出资义务的裁判规则，表明了对于虽未办理权属变更手续但已经实际交付公司使用的财产，其已为公司发挥资产效用，则公司收益中也就包含了该财产的贡献，实质上也就达到了出资的目的这一理念的肯定。鉴于此，考虑到本案增资的不动产已实际交付给公司使用，但财产权属的初始登记及权属转移均无法办理也不能补办，且该局面的形成又不能归责于张某、刘某某、胡某某三位股东的实际情况，本着尊重事实、公平公正的原则，不宜苛求本案股东完成事实上无法完成的事情，即对其增资的不动产必须在形式上完成办理权属转移手续。所以，一审判决对张某、刘某某、胡某某股东实缴出资已经到位的事实认定，并无不当，应予确认；中国某资产管理公司河北省分公司所提评估报告等只能反映股东出资的过程，股东实物出资的房产没有房本，没法办理产权过户，就无法确定是股东的财产，也就无法作为股东合法有效资产进行增资的观点和理由，不予支持。</w:t>
      </w:r>
    </w:p>
    <w:p w14:paraId="3292C064">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最后，本案是追加、变更被执行人异议之诉，追加、变更被执行人必须严格遵守法定原则，即必须以法律或司法解释中规定的可以变更、追加的情形为依据，既不能依据其他规范性文件追加、变更，也不能直接依据实体法追加、变更。本案中张某、刘某某有证据证明三位股东在转让股权前已经依法履行了出资义务，中国某资产管理公司河北省分公司请求追加、变更张某、刘某某为被执行人的主张，不符合《最高人民法院关于民事执行中变更、追加当事人若干问题的规定》（法释〔2020〕21号）第十七条、第十九条的规定。</w:t>
      </w:r>
    </w:p>
    <w:p w14:paraId="587EDC31">
      <w:pPr>
        <w:pStyle w:val="11"/>
        <w:spacing w:line="480" w:lineRule="exact"/>
        <w:ind w:firstLine="480" w:firstLineChars="200"/>
        <w:rPr>
          <w:rFonts w:hint="default" w:ascii="宋体" w:hAnsi="宋体" w:eastAsia="宋体" w:cs="宋体"/>
          <w:b/>
          <w:color w:val="000000"/>
        </w:rPr>
      </w:pPr>
      <w:r>
        <w:rPr>
          <w:rFonts w:ascii="宋体" w:hAnsi="宋体" w:eastAsia="宋体" w:cs="宋体"/>
          <w:color w:val="000000"/>
        </w:rPr>
        <w:t>综上所述，二审法院认为中国某资产管理公司河北省分公司的上诉请求不能成立，应予驳回；一审判决认定事实清楚，适用法律正确，应予维持。二审法院遂作出驳回上诉，维持原判的裁判结果。</w:t>
      </w:r>
    </w:p>
    <w:p w14:paraId="15D22297">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裁判要旨：</w:t>
      </w:r>
    </w:p>
    <w:p w14:paraId="3985BCB8">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中华人民共和国公司法》（2018年修正）第二十八条规定以非货币出资的，应依法办理财产权转移手续。对于实物出资到位并投入使用且客观上无法办理过户手续的，符合《最高人民法院关于适用〈中华人民共和国公司法〉若干问题的规定（三）》（法释〔2020〕18号）第十条“虽未办理权属变更手续但已实际交付使用的财产，其已为公司发挥资产效用，实质上也就达到了出资的目的”所规定的情形，应予认定完成了权属转移手续。</w:t>
      </w:r>
    </w:p>
    <w:p w14:paraId="5AA5ABB8">
      <w:pPr>
        <w:adjustRightInd w:val="0"/>
        <w:snapToGrid w:val="0"/>
        <w:spacing w:line="480" w:lineRule="exact"/>
        <w:ind w:firstLine="482" w:firstLineChars="200"/>
        <w:rPr>
          <w:rFonts w:ascii="宋体" w:hAnsi="宋体" w:cs="宋体"/>
          <w:b/>
          <w:color w:val="000000"/>
          <w:sz w:val="24"/>
          <w:szCs w:val="24"/>
          <w:lang w:eastAsia="zh-CN"/>
        </w:rPr>
      </w:pPr>
      <w:r>
        <w:rPr>
          <w:rFonts w:hint="eastAsia" w:ascii="宋体" w:hAnsi="宋体" w:cs="宋体"/>
          <w:b/>
          <w:color w:val="000000"/>
          <w:sz w:val="24"/>
          <w:szCs w:val="24"/>
          <w:lang w:eastAsia="zh-CN"/>
        </w:rPr>
        <w:t>案例7：</w:t>
      </w:r>
      <w:r>
        <w:rPr>
          <w:rStyle w:val="9"/>
          <w:rFonts w:hint="eastAsia" w:ascii="宋体" w:hAnsi="宋体" w:cs="宋体"/>
          <w:spacing w:val="5"/>
          <w:sz w:val="24"/>
          <w:szCs w:val="24"/>
          <w:shd w:val="clear" w:color="auto" w:fill="FFFFFF"/>
          <w:lang w:eastAsia="zh-CN"/>
        </w:rPr>
        <w:t>陈某诉上海某咨询有限公司股权转让纠纷案</w:t>
      </w:r>
      <w:r>
        <w:rPr>
          <w:rFonts w:hint="eastAsia" w:ascii="宋体" w:hAnsi="宋体" w:cs="黑体"/>
          <w:b/>
          <w:kern w:val="2"/>
          <w:sz w:val="24"/>
          <w:szCs w:val="24"/>
          <w:lang w:eastAsia="zh-CN"/>
        </w:rPr>
        <w:t>【案号：（2019）沪民申18号，入库编号：2023-16-2-269-005】</w:t>
      </w:r>
    </w:p>
    <w:p w14:paraId="20B9999F">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裁判理由：</w:t>
      </w:r>
    </w:p>
    <w:p w14:paraId="0C6A2D13">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法院生效裁判认为，本案原告陈某是香港特别行政区居民，陈某在本案中以香港居民身份参与经济活动，以香港居民身份提起诉讼，故本案系涉港合同纠纷。本案系争《股权转让协议》对法律适用约定为适用中华人民共和国法律，诉讼中，原、被告双方均确认该约定适用法律系指中国内地法律，该约定不违反法律规定，故确认本案适用中华人民共和国内地法律处理。</w:t>
      </w:r>
    </w:p>
    <w:p w14:paraId="2049FD2B">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原、被告双方于2016年7月28日签订的《股权转让协议》是双方当事人的真实意思表示，内容不悖法律规定，系有效合同，双方均应按约行使权利、履行义务。关于该协议产生争议和纠纷的解决方式，双方另行签订了《合作争议解决规则》，该规则第5条约定：“如任何一方在合作过程中违背上述原则（合作初期及至有始有终，勠力同心、分工互补；合作有成，同享荣华、共担风雨；如有分歧，对等措置、平权相处；如遇外侵，互不拆台、共御外侮），任何一方皆可将该事宜交由见证人（陆某）裁决，见证人做出的最终裁决将作为双方应共同遵守的解决方案。”该“最终裁决”的表述违反了尊重当事人的权利，不得因调解而阻止当事人依法通过仲裁、司法等途径维护自己权利的法律原则，应属无效。</w:t>
      </w:r>
    </w:p>
    <w:p w14:paraId="3ADF3AFC">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对于原告要求确认原告与被告于2016年7月28日签订的《股权转让协议》于2016年9月7日解除的诉讼请求，本院认为，首先，依法成立的合同受法律保护，对当事人具有法律约束力。见证人陆某并非履约当事人，其无权作出本案系争股权转让协议终止履行的决定，故即便见证人陆某告知双方系争股权转让协议应当解除，也不产生合同解除的法律效力；其次，股权转让协议签订后，被告作为股权受让方按约将股权转让款5,290,000元和运营资金300,000元如数汇入上海某投资有限公司和上海某园账户，并参与了上海某园的运营管理工作，积极履行了自己的合同义务。虽然协议约定被告制定近三年规则与近一年工作具体计划的义务，但并未限定提交时间，鉴于双方约定了交接过渡期为3个月至1年，被告在签约后1个多月的期限内未提交上述文件并不构成违约；再次，原告提出被告存在侵犯其肖像权、虚假宣传等违法行为，根据现已查明事实，原告已经通过肖像权诉讼、工商行政举报等方式主张了相关权利，相关司法机关和行政机关对原告反映的事实也已审查处理，被告的上述违法行为已经得到了相应法律制裁，但被告履行股权转让协议的主要合同义务是交付股权转让款，被告的上述违法行为不能否定被告已经履行了合同主要义务，故也不能因此认定被告违约。</w:t>
      </w:r>
    </w:p>
    <w:p w14:paraId="0B473232">
      <w:pPr>
        <w:pStyle w:val="11"/>
        <w:spacing w:line="480" w:lineRule="exact"/>
        <w:ind w:firstLine="480" w:firstLineChars="200"/>
        <w:rPr>
          <w:rFonts w:hint="default" w:ascii="宋体" w:hAnsi="宋体" w:eastAsia="宋体" w:cs="宋体"/>
          <w:b/>
          <w:color w:val="000000"/>
        </w:rPr>
      </w:pPr>
      <w:r>
        <w:rPr>
          <w:rFonts w:ascii="宋体" w:hAnsi="宋体" w:eastAsia="宋体" w:cs="宋体"/>
          <w:color w:val="000000"/>
        </w:rPr>
        <w:t>综上分析，原告于2016年9月7日听信见证人陆某的“裁决”将股权转让款和运营资金全部退还被告的行为，属于不当解约，并不产生合同解除的法律后果。此后经被告书面催告，原告拒绝办理股权转让工商变更登记手续，原告以自己的行为表明不再履行股权转让协议，构成严重违约。需要指出的是，虽然原告不具有法定解除权，但原告转让给被告的是有限责任公司的部分股权，有限责任公司以人合性为基础，从原告陈某此后发给被告的函件、提起肖像权诉讼、虚假宣传举报可知，双方的人合性基础已经丧失，股权转让事实上已经无法履行。考虑到本案实际情况，本院认为因无法继续履行股权转让协议，该协议应当予以解除。因合同无法继续履行系原告陈某违约造成，故原告无权要求被告承担支付违约金1,000,000元的违约责任。</w:t>
      </w:r>
    </w:p>
    <w:p w14:paraId="455D5BF1">
      <w:pPr>
        <w:pStyle w:val="11"/>
        <w:spacing w:line="480" w:lineRule="exact"/>
        <w:ind w:firstLine="482" w:firstLineChars="200"/>
        <w:rPr>
          <w:rFonts w:hint="default" w:ascii="宋体" w:hAnsi="宋体" w:eastAsia="宋体" w:cs="宋体"/>
          <w:b/>
          <w:color w:val="000000"/>
        </w:rPr>
      </w:pPr>
      <w:r>
        <w:rPr>
          <w:rFonts w:ascii="宋体" w:hAnsi="宋体" w:eastAsia="宋体" w:cs="宋体"/>
          <w:b/>
          <w:color w:val="000000"/>
        </w:rPr>
        <w:t>裁判要旨：</w:t>
      </w:r>
    </w:p>
    <w:p w14:paraId="044DE651">
      <w:pPr>
        <w:pStyle w:val="11"/>
        <w:numPr>
          <w:numId w:val="0"/>
        </w:numPr>
        <w:spacing w:line="480" w:lineRule="exact"/>
        <w:ind w:firstLine="480" w:firstLineChars="200"/>
        <w:rPr>
          <w:rFonts w:hint="default" w:ascii="宋体" w:hAnsi="宋体" w:eastAsia="宋体" w:cs="宋体"/>
          <w:color w:val="000000"/>
        </w:rPr>
      </w:pPr>
      <w:r>
        <w:rPr>
          <w:rFonts w:ascii="宋体" w:hAnsi="宋体" w:eastAsia="宋体" w:cs="宋体"/>
          <w:color w:val="000000"/>
        </w:rPr>
        <w:t>合同当事人约定由第三人裁决双方纠纷的条款无效，第三人作出的裁决不发生法律效力。合同当事人约定由第三人裁决纠纷，第三人裁决合同解除的，不符合约定解除合同条件，不发生解除合同的效果。</w:t>
      </w:r>
    </w:p>
    <w:p w14:paraId="299CF3BC">
      <w:pPr>
        <w:pStyle w:val="11"/>
        <w:numPr>
          <w:numId w:val="0"/>
        </w:numPr>
        <w:spacing w:line="480" w:lineRule="exact"/>
        <w:ind w:firstLine="480" w:firstLineChars="200"/>
        <w:rPr>
          <w:rFonts w:hint="default" w:ascii="宋体" w:hAnsi="宋体" w:eastAsia="宋体" w:cs="宋体"/>
          <w:color w:val="000000"/>
        </w:rPr>
      </w:pPr>
      <w:r>
        <w:rPr>
          <w:rFonts w:ascii="宋体" w:hAnsi="宋体" w:eastAsia="宋体" w:cs="宋体"/>
          <w:color w:val="000000"/>
        </w:rPr>
        <w:t>应履行非金钱债务的违约方提出解除合同的，不享有单方解除合同的权利。但是，案件中存在法律上或者事实上不能履行、债务的标的不适于强制履行或者履行费用过高、债权人在合理期限内未请求履行等情况的，人民法院可以依据其请求判决解除合同、终止合同权利义务关系。</w:t>
      </w:r>
    </w:p>
    <w:p w14:paraId="053F3C35">
      <w:pPr>
        <w:spacing w:line="480" w:lineRule="exact"/>
        <w:ind w:firstLine="482" w:firstLineChars="200"/>
        <w:rPr>
          <w:rFonts w:ascii="宋体" w:hAnsi="宋体" w:cs="宋体"/>
          <w:b/>
          <w:color w:val="000000"/>
          <w:sz w:val="24"/>
          <w:szCs w:val="24"/>
          <w:lang w:eastAsia="zh-CN"/>
        </w:rPr>
      </w:pPr>
      <w:r>
        <w:rPr>
          <w:rFonts w:hint="eastAsia" w:ascii="宋体" w:hAnsi="宋体" w:cs="宋体"/>
          <w:b/>
          <w:color w:val="000000"/>
          <w:sz w:val="24"/>
          <w:szCs w:val="24"/>
          <w:lang w:eastAsia="zh-CN"/>
        </w:rPr>
        <w:t>案例8：</w:t>
      </w:r>
      <w:r>
        <w:rPr>
          <w:rStyle w:val="9"/>
          <w:rFonts w:hint="eastAsia" w:ascii="宋体" w:hAnsi="宋体" w:cs="宋体"/>
          <w:spacing w:val="5"/>
          <w:sz w:val="24"/>
          <w:szCs w:val="24"/>
          <w:shd w:val="clear" w:color="auto" w:fill="FFFFFF"/>
          <w:lang w:eastAsia="zh-CN"/>
        </w:rPr>
        <w:t>刘某某诉蒋某甲、常州某公司等民间借贷纠纷案</w:t>
      </w:r>
      <w:r>
        <w:rPr>
          <w:rFonts w:hint="eastAsia" w:ascii="宋体" w:hAnsi="宋体" w:cs="黑体"/>
          <w:b/>
          <w:kern w:val="2"/>
          <w:sz w:val="24"/>
          <w:szCs w:val="24"/>
          <w:lang w:eastAsia="zh-CN"/>
        </w:rPr>
        <w:t>【案号：（2020）京02民再151号，入库编号：2023-16-2-103-012】</w:t>
      </w:r>
    </w:p>
    <w:p w14:paraId="65F5669D">
      <w:pPr>
        <w:widowControl/>
        <w:spacing w:before="90"/>
        <w:ind w:firstLine="482" w:firstLineChars="200"/>
        <w:jc w:val="left"/>
        <w:rPr>
          <w:rFonts w:ascii="宋体" w:hAnsi="宋体" w:cs="宋体"/>
          <w:b/>
          <w:color w:val="000000"/>
          <w:sz w:val="24"/>
          <w:szCs w:val="24"/>
          <w:lang w:eastAsia="zh-CN"/>
        </w:rPr>
      </w:pPr>
      <w:r>
        <w:rPr>
          <w:rFonts w:hint="eastAsia" w:ascii="宋体" w:hAnsi="宋体" w:cs="宋体"/>
          <w:b/>
          <w:color w:val="000000"/>
          <w:sz w:val="24"/>
          <w:szCs w:val="24"/>
          <w:lang w:eastAsia="zh-CN"/>
        </w:rPr>
        <w:t>裁判理由：</w:t>
      </w:r>
    </w:p>
    <w:p w14:paraId="0F533668">
      <w:pPr>
        <w:pStyle w:val="11"/>
        <w:spacing w:line="480" w:lineRule="exact"/>
        <w:ind w:firstLine="480" w:firstLineChars="200"/>
        <w:rPr>
          <w:rFonts w:hint="default" w:ascii="宋体" w:hAnsi="宋体" w:eastAsia="宋体" w:cs="宋体"/>
          <w:color w:val="000000"/>
        </w:rPr>
      </w:pPr>
      <w:r>
        <w:rPr>
          <w:rFonts w:ascii="宋体" w:hAnsi="宋体" w:eastAsia="宋体" w:cs="宋体"/>
          <w:lang w:bidi="ar"/>
        </w:rPr>
        <w:t>法</w:t>
      </w:r>
      <w:r>
        <w:rPr>
          <w:rFonts w:ascii="宋体" w:hAnsi="宋体" w:eastAsia="宋体" w:cs="宋体"/>
          <w:color w:val="000000"/>
        </w:rPr>
        <w:t>院生效裁判认为，本案争议焦点有：被告及责任认定、借款本金和利息认定、违约金应否支持等问题。</w:t>
      </w:r>
    </w:p>
    <w:p w14:paraId="7931A557">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一、关于被告主体及其责任认定</w:t>
      </w:r>
    </w:p>
    <w:p w14:paraId="12047CC4">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本案中，虽然2011年8月5日的借款协议首部写明甲方为“江苏某公司”，但该协议尾部却仅盖有常州某公司公章，且根据已经查明的工商登记资料，刘某某所诉的江苏某公司从未注册登记过“江苏某公司”的企业名称。因此，该院不能仅凭借款协议内容确定江苏某公司为实际借款人。刘某某以江苏某公司为共同借款人，并要求其承担还款责任，缺乏依据，不予认定。</w:t>
      </w:r>
    </w:p>
    <w:p w14:paraId="5D9BC491">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从借款协议的形式要件上看，常州某公司在借款协议上加盖了公章，蒋某甲在借款协议上签字，其后，刘某某按照蒋某甲的指示将借款转入蒋某甲之妻罗某某的个人账户并由常州某公司出具了收据。虽然蒋某甲在借款协议签订之时并非常州某公司的法定代表人，但蒋某甲在借款合同甲方一栏签字，且本案所涉借款根据其指示汇入其妻罗某某的个人账户，故该院认定，常州某公司和蒋某甲应为合同借款人，刘某某与常州某公司、蒋某甲已形成民间借贷关系。现刘某某诉请常州某公司、蒋某甲承担共同还款责任，符合相关法律规定，应予支持。</w:t>
      </w:r>
    </w:p>
    <w:p w14:paraId="235372DC">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刘某某要求罗某某承担共同还款责任，虽未提供直接证据证明其与罗某某存在借款合意，但所涉借款实际转入罗某某个人账户，而罗某某与蒋某甲系夫妻关系。根据相关法律规定，债权人就婚姻关系存续期间夫妻一方以个人名义所负债务主张权利的，应当按夫妻共同债务处理。刘某某作为债权人向蒋某甲主张清偿的债务发生于蒋某甲和罗某某夫妻关系存续期间，罗某某未到庭参与诉讼，亦未向该院提交证据证明刘某某与蒋某甲明确约定该笔借款为个人债务或属于婚姻法第十九条第三款规定的情形，且结合2014年8月14日罗某某向刘某某账户转入10万元利息款的事实，可以认定罗某某知晓蒋某甲所负本案债务的事实，并同意偿还。因此，蒋某甲在本案中所负债务应当视为罗某某与蒋某甲的共同债务。综上，罗某某为本案适格的被告主体，该院对刘某某要求罗某某承担连带还款责任的诉讼请求予以支持。</w:t>
      </w:r>
    </w:p>
    <w:p w14:paraId="77735EA2">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刘某某诉请蒋某乙和蒋某丙承担共同还款责任，虽未能证明其与蒋某乙和蒋某丙个人存在借款合意，但提供的包括有蒋某甲、罗某某、蒋某乙和常州某公司一方的借款补充协议（证据五）上亦无蒋某乙个人签字。但根据工商档案材料，常州某公司为自然人独资企业，属于一人有限责任公司。在借款协议签订时，蒋某乙系常州某公司的法定代表人，2014年7月3日，该公司法定代表人由蒋某乙变更为蒋某丙。在蒋某丙经营常州某公司期间，刘某某收取罗某某支付的借款利息10万元。按照我国公司法的相关规定，一人有限责任公司的股东不能证明公司财产独立于股东自己的财产的，应当对公司债务承担连带责任。本案审理中，蒋某乙和蒋某丙经合法传唤均未到庭应诉答辩。现刘某某依据相关法律规定，要求蒋某乙和蒋某丙承担共同还款责任，符合相关法律规定，应予支持。</w:t>
      </w:r>
    </w:p>
    <w:p w14:paraId="62630F09">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二、关于借款本金和利息的认定</w:t>
      </w:r>
    </w:p>
    <w:p w14:paraId="17374566">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庭审中，刘某某陈述，其与蒋某甲口头约定在2013年8月8日前终止原借款协议。其后蒋某甲偿还借款20万元，罗某某于2014年8月14日给付2013年8月8日至2014年8月7日期间的利息10万元（按年利率12.5%计算），至今仍有80万元本金未还。对于刘某某所述的被告欠款本金80万元之事实，该院予以确认。</w:t>
      </w:r>
    </w:p>
    <w:p w14:paraId="5ABAAE04">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对于刘某某要求支付复利的诉讼请求，因双方签订的借款协议未约定复利的问题，双方亦未重新出具新的债权凭证将已经产生但未支付的利息确定为本金，故对于刘某某要求支付复利的诉讼请求不予支持。在借款协议中，载明的利息为“10%”，刘某某要求按照2014年2月19日借款补充协议约定的年利率12.5%支付利息，但该份借款补充协议的真实性不能予以认定。对于刘某某已收取的10万元利息可视为2014年8月8日前双方约定的利息。刘某某要求支付80万元本金在2014年8月8日至2015年8月7日期间产生的利息以及2015年8月8日至实际给付之日止的利息均应按照10%年利率标准计算。</w:t>
      </w:r>
    </w:p>
    <w:p w14:paraId="5DCBE36A">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三、关于违约金应否支持的问题</w:t>
      </w:r>
    </w:p>
    <w:p w14:paraId="126E7911">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刘某某依据借款补充协议（证据四）中第四条的约定要求常州某公司、蒋某甲等被告支付违约金10万元。鉴于该份借款补充协议不符合法律规定的证据形式，且协议内容不能被其他真实合法的证据予以印证，故该补充协议不能认定为有效证据。对于刘某某该项诉讼请求，依据不足，不予支持。</w:t>
      </w:r>
    </w:p>
    <w:p w14:paraId="33274776">
      <w:pPr>
        <w:pStyle w:val="11"/>
        <w:spacing w:line="480" w:lineRule="exact"/>
        <w:ind w:firstLine="482" w:firstLineChars="200"/>
        <w:rPr>
          <w:rFonts w:hint="default" w:ascii="宋体" w:hAnsi="宋体" w:eastAsia="宋体" w:cs="宋体"/>
          <w:color w:val="000000"/>
        </w:rPr>
      </w:pPr>
      <w:r>
        <w:rPr>
          <w:rFonts w:ascii="宋体" w:hAnsi="宋体" w:eastAsia="宋体" w:cs="宋体"/>
          <w:b/>
          <w:bCs/>
          <w:color w:val="000000"/>
        </w:rPr>
        <w:t>裁判要旨：</w:t>
      </w:r>
    </w:p>
    <w:p w14:paraId="04ED3BE2">
      <w:pPr>
        <w:pStyle w:val="11"/>
        <w:spacing w:line="480" w:lineRule="exact"/>
        <w:ind w:firstLine="480" w:firstLineChars="200"/>
        <w:rPr>
          <w:rFonts w:hint="default" w:ascii="宋体" w:hAnsi="宋体" w:eastAsia="宋体" w:cs="宋体"/>
          <w:color w:val="000000"/>
        </w:rPr>
      </w:pPr>
      <w:r>
        <w:rPr>
          <w:rFonts w:ascii="宋体" w:hAnsi="宋体" w:eastAsia="宋体" w:cs="宋体"/>
          <w:color w:val="000000"/>
        </w:rPr>
        <w:t>一人公司股东如不能证明公司财产独立于股东自己的财产的，需对公司债务承担连带责任。债权人以一人公司的股东与公司存在财产混同为由起诉要求股东对公司债务承担连带责任，应实行举证责任倒置，由被告股东对个人财产与公司财产之间不存在混同承担举证责任。股东经合法传唤未到庭应诉应承担不利后果。</w:t>
      </w:r>
    </w:p>
    <w:sectPr>
      <w:footerReference r:id="rId3" w:type="default"/>
      <w:pgSz w:w="11906" w:h="16838"/>
      <w:pgMar w:top="1440" w:right="1361" w:bottom="1134" w:left="1361"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system-ui">
    <w:altName w:val="Segoe Print"/>
    <w:panose1 w:val="020B0604020202020204"/>
    <w:charset w:val="00"/>
    <w:family w:val="auto"/>
    <w:pitch w:val="default"/>
    <w:sig w:usb0="00000000" w:usb1="00000000" w:usb2="00000000" w:usb3="00000000" w:csb0="00000000" w:csb1="00000000"/>
  </w:font>
  <w:font w:name="苹方-简">
    <w:altName w:val="宋体"/>
    <w:panose1 w:val="020B0400000000000000"/>
    <w:charset w:val="86"/>
    <w:family w:val="auto"/>
    <w:pitch w:val="default"/>
    <w:sig w:usb0="00000000" w:usb1="00000000" w:usb2="00000017"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EDF2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19423">
                          <w:pPr>
                            <w:pStyle w:val="4"/>
                          </w:pPr>
                          <w:r>
                            <w:fldChar w:fldCharType="begin"/>
                          </w:r>
                          <w:r>
                            <w:rPr>
                              <w:rFonts w:ascii="仿宋_GB2312" w:hAnsi="仿宋_GB2312" w:eastAsia="仿宋_GB2312" w:cs="仿宋_GB2312"/>
                            </w:rPr>
                            <w:instrText xml:space="preserve"> PAGE  \* MERGEFORMAT </w:instrText>
                          </w:r>
                          <w:r>
                            <w:fldChar w:fldCharType="separate"/>
                          </w:r>
                          <w:r>
                            <w:rPr>
                              <w:rFonts w:ascii="仿宋_GB2312" w:hAnsi="仿宋_GB2312" w:eastAsia="仿宋_GB2312" w:cs="仿宋_GB2312"/>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D819423">
                    <w:pPr>
                      <w:pStyle w:val="4"/>
                    </w:pPr>
                    <w:r>
                      <w:fldChar w:fldCharType="begin"/>
                    </w:r>
                    <w:r>
                      <w:rPr>
                        <w:rFonts w:ascii="仿宋_GB2312" w:hAnsi="仿宋_GB2312" w:eastAsia="仿宋_GB2312" w:cs="仿宋_GB2312"/>
                      </w:rPr>
                      <w:instrText xml:space="preserve"> PAGE  \* MERGEFORMAT </w:instrText>
                    </w:r>
                    <w:r>
                      <w:fldChar w:fldCharType="separate"/>
                    </w:r>
                    <w:r>
                      <w:rPr>
                        <w:rFonts w:ascii="仿宋_GB2312" w:hAnsi="仿宋_GB2312" w:eastAsia="仿宋_GB2312" w:cs="仿宋_GB2312"/>
                      </w:rP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BFE5A6FE"/>
    <w:rsid w:val="00215D40"/>
    <w:rsid w:val="004E596C"/>
    <w:rsid w:val="00847735"/>
    <w:rsid w:val="00971DC7"/>
    <w:rsid w:val="00BD14D4"/>
    <w:rsid w:val="00DB7544"/>
    <w:rsid w:val="00F00DE1"/>
    <w:rsid w:val="01B41DF6"/>
    <w:rsid w:val="0487040B"/>
    <w:rsid w:val="04D85410"/>
    <w:rsid w:val="05831998"/>
    <w:rsid w:val="05963173"/>
    <w:rsid w:val="05CD1AEA"/>
    <w:rsid w:val="05FA1A48"/>
    <w:rsid w:val="069F5F0E"/>
    <w:rsid w:val="06DD6C7D"/>
    <w:rsid w:val="07C31154"/>
    <w:rsid w:val="082544EA"/>
    <w:rsid w:val="089849D0"/>
    <w:rsid w:val="0B5B1AAE"/>
    <w:rsid w:val="0B911A99"/>
    <w:rsid w:val="0BB27F3E"/>
    <w:rsid w:val="0C10430F"/>
    <w:rsid w:val="0C3F0E27"/>
    <w:rsid w:val="0CE473B7"/>
    <w:rsid w:val="10D26327"/>
    <w:rsid w:val="1106587D"/>
    <w:rsid w:val="116D71F8"/>
    <w:rsid w:val="11A16A45"/>
    <w:rsid w:val="128C0D9A"/>
    <w:rsid w:val="13737B75"/>
    <w:rsid w:val="14700951"/>
    <w:rsid w:val="161812A0"/>
    <w:rsid w:val="165B2E3B"/>
    <w:rsid w:val="165C08BD"/>
    <w:rsid w:val="16654526"/>
    <w:rsid w:val="16892685"/>
    <w:rsid w:val="168B5B89"/>
    <w:rsid w:val="168E458F"/>
    <w:rsid w:val="16F577B6"/>
    <w:rsid w:val="17485BB5"/>
    <w:rsid w:val="175B6261"/>
    <w:rsid w:val="184A22E6"/>
    <w:rsid w:val="1A0D0430"/>
    <w:rsid w:val="1ACD7E07"/>
    <w:rsid w:val="1C895B5E"/>
    <w:rsid w:val="1D552853"/>
    <w:rsid w:val="1DDA54BE"/>
    <w:rsid w:val="1E64416A"/>
    <w:rsid w:val="1E757C6A"/>
    <w:rsid w:val="1F240CB5"/>
    <w:rsid w:val="1FE62FE2"/>
    <w:rsid w:val="20B501B7"/>
    <w:rsid w:val="20F7705B"/>
    <w:rsid w:val="211278DC"/>
    <w:rsid w:val="21E94D31"/>
    <w:rsid w:val="23066402"/>
    <w:rsid w:val="233C4643"/>
    <w:rsid w:val="234251C6"/>
    <w:rsid w:val="246B6A3F"/>
    <w:rsid w:val="24D14774"/>
    <w:rsid w:val="24D569FD"/>
    <w:rsid w:val="253112AD"/>
    <w:rsid w:val="272A0E33"/>
    <w:rsid w:val="2848291E"/>
    <w:rsid w:val="28A40771"/>
    <w:rsid w:val="29325D7D"/>
    <w:rsid w:val="2BD01A9C"/>
    <w:rsid w:val="2BD23073"/>
    <w:rsid w:val="2BEC4AF9"/>
    <w:rsid w:val="2DA23F11"/>
    <w:rsid w:val="2DE4201C"/>
    <w:rsid w:val="2E766B49"/>
    <w:rsid w:val="300B49E1"/>
    <w:rsid w:val="32186CC0"/>
    <w:rsid w:val="33BE3490"/>
    <w:rsid w:val="34242218"/>
    <w:rsid w:val="349E1EE2"/>
    <w:rsid w:val="35C30565"/>
    <w:rsid w:val="36E6529F"/>
    <w:rsid w:val="386D1C23"/>
    <w:rsid w:val="389F4A04"/>
    <w:rsid w:val="38B71A8A"/>
    <w:rsid w:val="38E505E8"/>
    <w:rsid w:val="3940484E"/>
    <w:rsid w:val="39C678D5"/>
    <w:rsid w:val="3B5B576D"/>
    <w:rsid w:val="3E647289"/>
    <w:rsid w:val="3EF25354"/>
    <w:rsid w:val="3F0A2125"/>
    <w:rsid w:val="3F501D56"/>
    <w:rsid w:val="3FEF1D74"/>
    <w:rsid w:val="408E2B77"/>
    <w:rsid w:val="40FD2E2B"/>
    <w:rsid w:val="412A3270"/>
    <w:rsid w:val="413E2E37"/>
    <w:rsid w:val="43632D4D"/>
    <w:rsid w:val="43DF55E6"/>
    <w:rsid w:val="440F482D"/>
    <w:rsid w:val="4580222A"/>
    <w:rsid w:val="49C97A9C"/>
    <w:rsid w:val="4C241E79"/>
    <w:rsid w:val="4D950A56"/>
    <w:rsid w:val="4F5706B7"/>
    <w:rsid w:val="4F824D7E"/>
    <w:rsid w:val="5126542F"/>
    <w:rsid w:val="51465964"/>
    <w:rsid w:val="51730B5D"/>
    <w:rsid w:val="52141834"/>
    <w:rsid w:val="52A90E2E"/>
    <w:rsid w:val="52F7312C"/>
    <w:rsid w:val="54AB1879"/>
    <w:rsid w:val="5628468F"/>
    <w:rsid w:val="56A33BB2"/>
    <w:rsid w:val="58032874"/>
    <w:rsid w:val="58A50CE3"/>
    <w:rsid w:val="5A392494"/>
    <w:rsid w:val="5AAE2559"/>
    <w:rsid w:val="5B467D5E"/>
    <w:rsid w:val="5B706E5A"/>
    <w:rsid w:val="5B7D706E"/>
    <w:rsid w:val="5BCA725C"/>
    <w:rsid w:val="5C93136F"/>
    <w:rsid w:val="5CF01708"/>
    <w:rsid w:val="5EB00496"/>
    <w:rsid w:val="5EEB250F"/>
    <w:rsid w:val="5F055834"/>
    <w:rsid w:val="5F546567"/>
    <w:rsid w:val="5FAA42E4"/>
    <w:rsid w:val="5FCEC721"/>
    <w:rsid w:val="60094AF5"/>
    <w:rsid w:val="60144D21"/>
    <w:rsid w:val="60F02312"/>
    <w:rsid w:val="6131633F"/>
    <w:rsid w:val="61F7685D"/>
    <w:rsid w:val="62F66AEA"/>
    <w:rsid w:val="62F97A6F"/>
    <w:rsid w:val="630F7A14"/>
    <w:rsid w:val="638031CB"/>
    <w:rsid w:val="65254B81"/>
    <w:rsid w:val="654F59C5"/>
    <w:rsid w:val="65D60B93"/>
    <w:rsid w:val="65E63B9C"/>
    <w:rsid w:val="65F81A8F"/>
    <w:rsid w:val="66643709"/>
    <w:rsid w:val="67065791"/>
    <w:rsid w:val="68212FE3"/>
    <w:rsid w:val="69D74EB4"/>
    <w:rsid w:val="6ABFE269"/>
    <w:rsid w:val="6BBE72F4"/>
    <w:rsid w:val="6BFF573D"/>
    <w:rsid w:val="6CDA6E09"/>
    <w:rsid w:val="6D0921C2"/>
    <w:rsid w:val="6D490077"/>
    <w:rsid w:val="6D8E09D2"/>
    <w:rsid w:val="6E095813"/>
    <w:rsid w:val="6EC8783E"/>
    <w:rsid w:val="6F2317E3"/>
    <w:rsid w:val="6FCE1C7C"/>
    <w:rsid w:val="70F961C1"/>
    <w:rsid w:val="733A771A"/>
    <w:rsid w:val="735C0F53"/>
    <w:rsid w:val="73EF26C0"/>
    <w:rsid w:val="7506570B"/>
    <w:rsid w:val="75427AEF"/>
    <w:rsid w:val="76C26CE6"/>
    <w:rsid w:val="77380EA3"/>
    <w:rsid w:val="789E5DDE"/>
    <w:rsid w:val="79641838"/>
    <w:rsid w:val="7A3E07D4"/>
    <w:rsid w:val="7B016CDB"/>
    <w:rsid w:val="7B62561B"/>
    <w:rsid w:val="7B652283"/>
    <w:rsid w:val="7BB95E02"/>
    <w:rsid w:val="7C9C22FF"/>
    <w:rsid w:val="7E3855A4"/>
    <w:rsid w:val="7E921135"/>
    <w:rsid w:val="7F3C3046"/>
    <w:rsid w:val="7FDD36D6"/>
    <w:rsid w:val="7FF607AF"/>
    <w:rsid w:val="95FF2D85"/>
    <w:rsid w:val="BB7F5B2C"/>
    <w:rsid w:val="BFE5A6FE"/>
    <w:rsid w:val="FC5F10FF"/>
    <w:rsid w:val="FFEA5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en-US"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b/>
      <w:bCs/>
      <w:sz w:val="36"/>
      <w:szCs w:val="36"/>
      <w:lang w:eastAsia="zh-CN"/>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sz w:val="27"/>
      <w:szCs w:val="27"/>
      <w:lang w:eastAsia="zh-CN"/>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sz w:val="24"/>
      <w:lang w:eastAsia="zh-CN"/>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null5"/>
    <w:hidden/>
    <w:qFormat/>
    <w:uiPriority w:val="0"/>
    <w:rPr>
      <w:rFonts w:hint="eastAsia" w:ascii="仿宋_GB2312" w:hAnsi="仿宋_GB2312" w:eastAsia="仿宋_GB2312" w:cs="仿宋_GB2312"/>
      <w:sz w:val="24"/>
      <w:szCs w:val="24"/>
      <w:lang w:val="en-US" w:eastAsia="zh-CN" w:bidi="ar-SA"/>
    </w:rPr>
  </w:style>
  <w:style w:type="paragraph" w:customStyle="1" w:styleId="12">
    <w:name w:val="列表段落1"/>
    <w:qFormat/>
    <w:uiPriority w:val="34"/>
    <w:pPr>
      <w:widowControl w:val="0"/>
      <w:ind w:left="720"/>
      <w:contextualSpacing/>
      <w:jc w:val="both"/>
    </w:pPr>
    <w:rPr>
      <w:rFonts w:ascii="等线" w:hAnsi="等线" w:eastAsia="等线" w:cs="黑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d6e4dcf2-57c9-450a-9243-3521f81987c3</errorID>
      <errorWord>国家外汇局</errorWord>
      <group>L1_Word</group>
      <groupName>字词问题</groupName>
      <ability>L2_Typo</ability>
      <abilityName>字词错误</abilityName>
      <candidateList>
        <item>国家外汇管理局</item>
      </candidateList>
      <explain/>
      <paraID>5F0479B1</paraID>
      <start>62</start>
      <end>69</end>
      <status>modified</status>
      <modifiedWord>国家外汇管理局</modifiedWord>
      <trackRevisions>false</trackRevisions>
    </reviewItem>
    <reviewItem>
      <errorID>7f2d2c8e-9959-456a-9248-c785bd3d888e</errorID>
      <errorWord>。。</errorWord>
      <group>L1_Punc</group>
      <groupName>标点问题</groupName>
      <ability>L2_Punc_CN</ability>
      <abilityName>标点符号问题</abilityName>
      <candidateList>
        <item>。</item>
      </candidateList>
      <explain/>
      <paraID>7372405D</paraID>
      <start>120</start>
      <end>121</end>
      <status>modified</status>
      <modifiedWord>。</modifiedWord>
      <trackRevisions>false</trackRevisions>
    </reviewItem>
    <reviewItem>
      <errorID>6cf4a423-ffd3-440e-a280-ffeef92df1b1</errorID>
      <errorWord>国家外汇局</errorWord>
      <group>L1_Word</group>
      <groupName>字词问题</groupName>
      <ability>L2_Typo</ability>
      <abilityName>字词错误</abilityName>
      <candidateList>
        <item>国家外汇管理局</item>
      </candidateList>
      <explain/>
      <paraID>2A379D2F</paraID>
      <start>62</start>
      <end>69</end>
      <status>modified</status>
      <modifiedWord>国家外汇管理局</modifiedWord>
      <trackRevisions>false</trackRevisions>
    </reviewItem>
    <reviewItem>
      <errorID>e8bae7ab-7a9a-42cd-a5f4-567cb65f8c74</errorID>
      <errorWord>国家外汇局</errorWord>
      <group>L1_Word</group>
      <groupName>字词问题</groupName>
      <ability>L2_Typo</ability>
      <abilityName>字词错误</abilityName>
      <candidateList>
        <item>国家外汇管理局</item>
      </candidateList>
      <explain/>
      <paraID>192396E4</paraID>
      <start>95</start>
      <end>102</end>
      <status>modified</status>
      <modifiedWord>国家外汇管理局</modifiedWord>
      <trackRevisions>false</trackRevisions>
    </reviewItem>
    <reviewItem>
      <errorID>4fbb0823-cdb6-443f-959b-45f634ba0f92</errorID>
      <errorWord>录像人</errorWord>
      <group>L1_Word</group>
      <groupName>字词问题</groupName>
      <ability>L2_Typo</ability>
      <abilityName>字词错误</abilityName>
      <candidateList>
        <item>录像</item>
      </candidateList>
      <explain/>
      <paraID>6542E28B</paraID>
      <start>121</start>
      <end>124</end>
      <status>ignored</status>
      <modifiedWord/>
      <trackRevisions>false</trackRevisions>
    </reviewItem>
    <reviewItem>
      <errorID>6968aca2-6a9a-43ee-9d8e-90c045d3d7fa</errorID>
      <errorWord>，</errorWord>
      <group>L1_Word</group>
      <groupName>字词问题</groupName>
      <ability>L2_Typo</ability>
      <abilityName>字词错误</abilityName>
      <candidateList>
        <item>，在</item>
      </candidateList>
      <explain/>
      <paraID>7BED0E3D</paraID>
      <start>48</start>
      <end>49</end>
      <status>ignored</status>
      <modifiedWord/>
      <trackRevisions>false</trackRevisions>
    </reviewItem>
    <reviewItem>
      <errorID>359176c7-cd6a-44c6-b287-6ba9ce7970ba</errorID>
      <errorWord>属</errorWord>
      <group>L1_Word</group>
      <groupName>字词问题</groupName>
      <ability>L2_Typo</ability>
      <abilityName>字词错误</abilityName>
      <candidateList>
        <item>属于</item>
      </candidateList>
      <explain/>
      <paraID>7BED0E3D</paraID>
      <start>66</start>
      <end>67</end>
      <status>ignored</status>
      <modifiedWord/>
      <trackRevisions>false</trackRevisions>
    </reviewItem>
    <reviewItem>
      <errorID>9f57ddc9-e6f8-42b4-8334-eb55c66d682c</errorID>
      <errorWord>除了</errorWord>
      <group>L1_Word</group>
      <groupName>字词问题</groupName>
      <ability>L2_Typo</ability>
      <abilityName>字词错误</abilityName>
      <candidateList>
        <item>除</item>
      </candidateList>
      <explain/>
      <paraID>7BED0E3D</paraID>
      <start>1133</start>
      <end>1135</end>
      <status>ignored</status>
      <modifiedWord/>
      <trackRevisions>false</trackRevisions>
    </reviewItem>
    <reviewItem>
      <errorID>21116c9b-e519-4eaa-b038-8fbfcaa0c239</errorID>
      <errorWord>属</errorWord>
      <group>L1_Word</group>
      <groupName>字词问题</groupName>
      <ability>L2_Typo</ability>
      <abilityName>字词错误</abilityName>
      <candidateList>
        <item>属于</item>
      </candidateList>
      <explain/>
      <paraID>50D265A1</paraID>
      <start>61</start>
      <end>62</end>
      <status>ignored</status>
      <modifiedWord/>
      <trackRevisions>false</trackRevisions>
    </reviewItem>
    <reviewItem>
      <errorID>4524f152-3179-4b63-8c95-d2419d0b1f4a</errorID>
      <errorWord>性质的</errorWord>
      <group>L1_Word</group>
      <groupName>字词问题</groupName>
      <ability>L2_Typo</ability>
      <abilityName>字词错误</abilityName>
      <candidateList>
        <item>性质</item>
      </candidateList>
      <explain/>
      <paraID>646EC219</paraID>
      <start>49</start>
      <end>51</end>
      <status>modified</status>
      <modifiedWord>性质</modifiedWord>
      <trackRevisions>false</trackRevisions>
    </reviewItem>
    <reviewItem>
      <errorID>22d70a84-4d34-419c-b3f3-505433b0ed3d</errorID>
      <errorWord>虽</errorWord>
      <group>L1_Word</group>
      <groupName>字词问题</groupName>
      <ability>L2_Typo</ability>
      <abilityName>字词错误</abilityName>
      <candidateList>
        <item>虽然</item>
      </candidateList>
      <explain/>
      <paraID>332D0D37</paraID>
      <start>511</start>
      <end>512</end>
      <status>ignored</status>
      <modifiedWord/>
      <trackRevisions>false</trackRevisions>
    </reviewItem>
    <reviewItem>
      <errorID>b30ccc98-4dff-42af-9281-d936e5766ecb</errorID>
      <errorWord>即是</errorWord>
      <group>L1_Word</group>
      <groupName>字词问题</groupName>
      <ability>L2_Typo</ability>
      <abilityName>字词错误</abilityName>
      <candidateList>
        <item>即</item>
      </candidateList>
      <explain/>
      <paraID>332D0D37</paraID>
      <start>648</start>
      <end>650</end>
      <status>ignored</status>
      <modifiedWord/>
      <trackRevisions>false</trackRevisions>
    </reviewItem>
    <reviewItem>
      <errorID>a5181160-8adb-4489-bf7b-ab9eac9f6f6a</errorID>
      <errorWord>股东大会</errorWord>
      <group>L1_Knowledge</group>
      <groupName>知识性问题</groupName>
      <ability>L2_Knowledge</ability>
      <abilityName>其他知识</abilityName>
      <candidateList>
        <item>股东会</item>
      </candidateList>
      <explain/>
      <paraID>49DB2544</paraID>
      <start>392</start>
      <end>396</end>
      <status>ignored</status>
      <modifiedWord/>
      <trackRevisions>false</trackRevisions>
    </reviewItem>
    <reviewItem>
      <errorID>99897c2d-26c8-430a-90b5-bed6f86ff8c0</errorID>
      <errorWord>股东大会</errorWord>
      <group>L1_Word</group>
      <groupName>字词问题</groupName>
      <ability>L2_Typo</ability>
      <abilityName>字词错误</abilityName>
      <candidateList>
        <item>股东会</item>
      </candidateList>
      <explain/>
      <paraID>49DB2544</paraID>
      <start>413</start>
      <end>417</end>
      <status>ignored</status>
      <modifiedWord/>
      <trackRevisions>false</trackRevisions>
    </reviewItem>
    <reviewItem>
      <errorID>499e1901-efab-4f9d-a940-f8cb018e8900</errorID>
      <errorWord>股东大会</errorWord>
      <group>L1_Knowledge</group>
      <groupName>知识性问题</groupName>
      <ability>L2_Knowledge</ability>
      <abilityName>其他知识</abilityName>
      <candidateList>
        <item>股东会</item>
      </candidateList>
      <explain/>
      <paraID>49DB2544</paraID>
      <start>427</start>
      <end>431</end>
      <status>ignored</status>
      <modifiedWord/>
      <trackRevisions>false</trackRevisions>
    </reviewItem>
    <reviewItem>
      <errorID>78f29d31-f63d-4348-bcd2-757c003ad466</errorID>
      <errorWord>股东大会</errorWord>
      <group>L1_Knowledge</group>
      <groupName>知识性问题</groupName>
      <ability>L2_Knowledge</ability>
      <abilityName>其他知识</abilityName>
      <candidateList>
        <item>股东会</item>
      </candidateList>
      <explain/>
      <paraID>49DB2544</paraID>
      <start>439</start>
      <end>443</end>
      <status>ignored</status>
      <modifiedWord/>
      <trackRevisions>false</trackRevisions>
    </reviewItem>
    <reviewItem>
      <errorID>30196690-ffdd-47db-a92f-b82b1c911897</errorID>
      <errorWord>中华人民共和国物权法</errorWord>
      <group>L1_Knowledge</group>
      <groupName>知识性问题</groupName>
      <ability>L2_Knowledge</ability>
      <abilityName>其他知识</abilityName>
      <candidateList/>
      <explain>该法律于2007年3月16日由全国人民代表大会制定，已于2021年1月1日废止，请注意检查引用是否正确。</explain>
      <paraID>71C68A60</paraID>
      <start>1166</start>
      <end>1176</end>
      <status>unmodified</status>
      <modifiedWord/>
      <trackRevisions>false</trackRevisions>
    </reviewItem>
    <reviewItem>
      <errorID>537b7459-adf3-432f-bea7-5397e6db5c56</errorID>
      <errorWord>、且</errorWord>
      <group>L1_Word</group>
      <groupName>字词问题</groupName>
      <ability>L2_Typo</ability>
      <abilityName>字词错误</abilityName>
      <candidateList>
        <item>且</item>
      </candidateList>
      <explain/>
      <paraID>71C68A60</paraID>
      <start>1428</start>
      <end>1430</end>
      <status>ignored</status>
      <modifiedWord/>
      <trackRevisions>false</trackRevisions>
    </reviewItem>
    <reviewItem>
      <errorID>12c395af-cca0-41dc-972f-fbd94855922d</errorID>
      <errorWord>最高法院</errorWord>
      <group>L1_Knowledge</group>
      <groupName>知识性问题</groupName>
      <ability>L2_Organization</ability>
      <abilityName>机构检查</abilityName>
      <candidateList>
        <item>最高人民法院</item>
      </candidateList>
      <explain>机关单位全简称表述错误</explain>
      <paraID>71C68A60</paraID>
      <start>2099</start>
      <end>2103</end>
      <status>ignored</status>
      <modifiedWord/>
      <trackRevisions>false</trackRevisions>
    </reviewItem>
    <reviewItem>
      <errorID>2f4047dd-cea6-45c1-b6fb-b6ffe70975bc</errorID>
      <errorWord>婚姻法</errorWord>
      <group>L1_Knowledge</group>
      <groupName>知识性问题</groupName>
      <ability>L2_Knowledge</ability>
      <abilityName>其他知识</abilityName>
      <candidateList/>
      <explain>已废止</explain>
      <paraID>1C280567</paraID>
      <start>682</start>
      <end>685</end>
      <status>unmodified</status>
      <modifiedWord/>
      <trackRevisions>false</trackRevisions>
    </reviewItem>
    <reviewItem>
      <errorID>c6b0019a-fa70-4e74-adc1-4022737f1c9b</errorID>
      <errorWord>，</errorWord>
      <group>L1_Word</group>
      <groupName>字词问题</groupName>
      <ability>L2_Typo</ability>
      <abilityName>字词错误</abilityName>
      <candidateList>
        <item>，但</item>
      </candidateList>
      <explain/>
      <paraID>1C280567</paraID>
      <start>884</start>
      <end>886</end>
      <status>modified</status>
      <modifiedWord>，但</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0234BB-69C0-40AE-B7D3-367A49F679A0}">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7848</Words>
  <Characters>8296</Characters>
  <Lines>113</Lines>
  <Paragraphs>31</Paragraphs>
  <TotalTime>8</TotalTime>
  <ScaleCrop>false</ScaleCrop>
  <LinksUpToDate>false</LinksUpToDate>
  <CharactersWithSpaces>8306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2026-09-01T13:18:00Z</dcterms:created>
  <dc:creator>icou</dc:creator>
  <cp:lastModifiedBy>zk123</cp:lastModifiedBy>
  <dcterms:modified xsi:type="dcterms:W3CDTF">2026-09-01T05:28:54Z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647599829D9D482B9402ADA43D4881F5_13</vt:lpwstr>
  </property>
  <property fmtid="{D5CDD505-2E9C-101B-9397-08002B2CF9AE}" pid="3" name="KSOProductBuildVer">
    <vt:lpwstr>2052-12.1.0.28043</vt:lpwstr>
  </property>
  <property fmtid="{D5CDD505-2E9C-101B-9397-08002B2CF9AE}" pid="4" name="KSOTemplateDocerSaveRecord">
    <vt:lpwstr>eyJoZGlkIjoiMDNjNTU2MDFjMTA5MmZmYTA1ZWJlNTJlYTk3NmM0YWEiLCJ1c2VySWQiOiIzMjUwNjYwMjIifQ==</vt:lpwstr>
  </property>
</Properties>
</file>