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default" w:ascii="黑体" w:hAnsi="黑体" w:eastAsia="黑体" w:cs="黑体"/>
          <w:sz w:val="32"/>
          <w:szCs w:val="32"/>
          <w:lang w:val="en-US" w:eastAsia="zh-CN"/>
        </w:rPr>
      </w:pPr>
      <w:r>
        <w:rPr>
          <w:rFonts w:hint="eastAsia" w:ascii="黑体" w:hAnsi="黑体" w:eastAsia="黑体" w:cs="黑体"/>
          <w:sz w:val="44"/>
          <w:szCs w:val="44"/>
        </w:rPr>
        <w:t>大连市律协</w:t>
      </w:r>
      <w:r>
        <w:rPr>
          <w:rFonts w:hint="eastAsia" w:ascii="黑体" w:hAnsi="黑体" w:eastAsia="黑体" w:cs="黑体"/>
          <w:sz w:val="44"/>
          <w:szCs w:val="44"/>
          <w:lang w:eastAsia="zh-CN"/>
        </w:rPr>
        <w:t>《律师代理破产债权申报业务操作指引</w:t>
      </w:r>
      <w:r>
        <w:rPr>
          <w:rFonts w:hint="eastAsia" w:ascii="黑体" w:hAnsi="黑体" w:eastAsia="黑体" w:cs="黑体"/>
          <w:sz w:val="44"/>
          <w:szCs w:val="44"/>
        </w:rPr>
        <w:t>（征求意见稿）</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起草说明</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为提升大连市律师参与破产业务的执业能力，大连市律师协会破产与清算法律专业委员会起草了《律师代理破产债权申报业务操作指引（征求意见稿）》（以下简称《操作指引》），现就有关起草情况说明如下：</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黑体" w:hAnsi="黑体" w:eastAsia="黑体" w:cs="黑体"/>
          <w:sz w:val="32"/>
          <w:szCs w:val="32"/>
          <w:lang w:val="en-US"/>
        </w:rPr>
      </w:pPr>
      <w:r>
        <w:rPr>
          <w:rFonts w:hint="eastAsia" w:ascii="黑体" w:hAnsi="黑体" w:eastAsia="黑体" w:cs="黑体"/>
          <w:sz w:val="32"/>
          <w:szCs w:val="32"/>
        </w:rPr>
        <w:t>一、</w:t>
      </w:r>
      <w:r>
        <w:rPr>
          <w:rFonts w:hint="eastAsia" w:ascii="黑体" w:hAnsi="黑体" w:eastAsia="黑体" w:cs="黑体"/>
          <w:sz w:val="32"/>
          <w:szCs w:val="32"/>
          <w:lang w:val="en-US" w:eastAsia="zh-CN"/>
        </w:rPr>
        <w:t>制定</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操作指引》的背景</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年来，随着经济结构调整和企业退出机制的完善，破产案件数量逐年增加，律师在破产程序中的作用日益凸显。经调研，目前全国及各省市律协、管理人协会已出台的相关工作指引，多集中于破产管理人履职层面，专门针对律师代理债权人参与破产程序的指引较少。尽管律师普遍具备代理债权债务纠纷的业务能力，但破产程序中的债权申报与普通民商事诉讼在程序逻辑上存在显著差异——债权须经申报、管理人审查、债权人会议核查、法院裁定确认等法定环节方能最终确立，程序链条更长、时限要求更为刚性。不少律师对破产程序的特殊规则缺乏系统了解，容易将一般诉讼代理的经验直接套用于债权申报业务，忽视申报期限、申报材料规范及异议路径等特殊要求，导致面对破产债权申报业务时难以快速切入、高效推进。为系统性解决当前本市律师在代理申报破产债权业务中面临的实践困境，大连市律协破产与清算法律专业委员会依据相关法律法规，参考各地有益经验，结合实务操作惯例，制定本《操作指引》，旨在为本市律师办理破产债权申报业务提供标准化、流程化、清单化的操作指南，提升律师专业化水平，促进破产业务的健康发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操作指引》的制定依据及参考文件</w:t>
      </w:r>
    </w:p>
    <w:p>
      <w:pPr>
        <w:keepNext w:val="0"/>
        <w:keepLines w:val="0"/>
        <w:pageBreakBefore w:val="0"/>
        <w:widowControl w:val="0"/>
        <w:kinsoku/>
        <w:wordWrap/>
        <w:overflowPunct/>
        <w:topLinePunct w:val="0"/>
        <w:autoSpaceDE/>
        <w:autoSpaceDN/>
        <w:bidi w:val="0"/>
        <w:adjustRightInd/>
        <w:snapToGrid/>
        <w:spacing w:line="500" w:lineRule="exact"/>
        <w:ind w:firstLine="641"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（一）制定依据</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1.《中华人民共和国企业破产法》（主席令第54号，2007年）；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2.《最高人民法院关于适用&lt;中华人民共和国企业破产法&gt;若干问题的规定（三）》（2020修正）（法释〔2020〕18号）</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3.《最高人民法院关于适用&lt;中华人民共和国民法典&gt;有关担保制度的解释》（法释〔2020〕28号）</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4.《最高人民法院关于税务机关就破产企业欠缴税款产生的滞纳金提起的债权确认之诉应否受理问题的批复》（法释〔2012〕9号）</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《中华人民共和国民事诉讼法（2023修正）》</w:t>
      </w:r>
    </w:p>
    <w:p>
      <w:pPr>
        <w:keepNext w:val="0"/>
        <w:keepLines w:val="0"/>
        <w:pageBreakBefore w:val="0"/>
        <w:widowControl w:val="0"/>
        <w:kinsoku/>
        <w:wordWrap/>
        <w:overflowPunct/>
        <w:topLinePunct w:val="0"/>
        <w:autoSpaceDE/>
        <w:autoSpaceDN/>
        <w:bidi w:val="0"/>
        <w:adjustRightInd/>
        <w:snapToGrid/>
        <w:spacing w:line="500" w:lineRule="exact"/>
        <w:ind w:firstLine="641"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（二）参考文件</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1.《大连市中级人民法院破产案件审理规范（试行）》(大中法〔2018〕23号)</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2.《中华人民共和国企业破产法》（修订草案）</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3.《中华全国律师协会律师办理婚姻家庭法律业务操作指引》（2017年）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操作指引》的主要内容</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本指引共分为八章，旨在为律师代理债权人完成债权申报的全流程提供系统性的操作指导。</w:t>
      </w:r>
    </w:p>
    <w:p>
      <w:pPr>
        <w:keepNext w:val="0"/>
        <w:keepLines w:val="0"/>
        <w:pageBreakBefore w:val="0"/>
        <w:widowControl w:val="0"/>
        <w:kinsoku/>
        <w:wordWrap/>
        <w:overflowPunct/>
        <w:topLinePunct w:val="0"/>
        <w:autoSpaceDE/>
        <w:autoSpaceDN/>
        <w:bidi w:val="0"/>
        <w:adjustRightInd/>
        <w:snapToGrid/>
        <w:spacing w:line="500" w:lineRule="exact"/>
        <w:ind w:firstLine="641"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第一章总则。</w:t>
      </w:r>
      <w:r>
        <w:rPr>
          <w:rFonts w:hint="eastAsia" w:ascii="仿宋_GB2312" w:hAnsi="仿宋_GB2312" w:eastAsia="仿宋_GB2312" w:cs="仿宋_GB2312"/>
          <w:sz w:val="32"/>
          <w:szCs w:val="32"/>
          <w:lang w:val="en-US" w:eastAsia="zh-CN"/>
        </w:rPr>
        <w:t>阐明了制定本《操作指引》的目的和法律依据，明确了本指引的性质为指导性文件，不具有强制性，供本市律师在破产清算、重整、和解程序中代理债权申报时参考使用。</w:t>
      </w:r>
    </w:p>
    <w:p>
      <w:pPr>
        <w:keepNext w:val="0"/>
        <w:keepLines w:val="0"/>
        <w:pageBreakBefore w:val="0"/>
        <w:widowControl w:val="0"/>
        <w:kinsoku/>
        <w:wordWrap/>
        <w:overflowPunct/>
        <w:topLinePunct w:val="0"/>
        <w:autoSpaceDE/>
        <w:autoSpaceDN/>
        <w:bidi w:val="0"/>
        <w:adjustRightInd/>
        <w:snapToGrid/>
        <w:spacing w:line="500" w:lineRule="exact"/>
        <w:ind w:firstLine="641"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第二章破产债权的范围。</w:t>
      </w:r>
      <w:r>
        <w:rPr>
          <w:rFonts w:hint="eastAsia" w:ascii="仿宋_GB2312" w:hAnsi="仿宋_GB2312" w:eastAsia="仿宋_GB2312" w:cs="仿宋_GB2312"/>
          <w:sz w:val="32"/>
          <w:szCs w:val="32"/>
          <w:lang w:val="en-US" w:eastAsia="zh-CN"/>
        </w:rPr>
        <w:t>本章系统梳理了可申报债权的具体类型，依据《企业破产法》及相关司法解释，以列举方式明确了无财产担保债权、有财产担保债权、未到期债权、附条件附期限债权、诉讼仲裁未决债权、保证人求偿权及将来求偿权、解除合同损害赔偿请求权、委托事务请求权、票据付款请求权等十一类可申报债权。同时，对职工债权不必申报、由管理人调查公示的特殊规则予以明确，帮助律师准确界定可申报债权的范围，避免遗漏。</w:t>
      </w:r>
    </w:p>
    <w:p>
      <w:pPr>
        <w:keepNext w:val="0"/>
        <w:keepLines w:val="0"/>
        <w:pageBreakBefore w:val="0"/>
        <w:widowControl w:val="0"/>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第三章债权申报期限。</w:t>
      </w:r>
      <w:r>
        <w:rPr>
          <w:rFonts w:hint="eastAsia" w:ascii="仿宋_GB2312" w:hAnsi="仿宋_GB2312" w:eastAsia="仿宋_GB2312" w:cs="仿宋_GB2312"/>
          <w:sz w:val="32"/>
          <w:szCs w:val="32"/>
          <w:lang w:val="en-US" w:eastAsia="zh-CN"/>
        </w:rPr>
        <w:t>本章聚焦债权申报的程序性时限要求，明确了债权申报期限的起算点和法定区间，重点提示了逾期申报的法律后果（包括补充申报费用的承担、已分配财产不再补充分配等），并对重整及和解程序中逾期申报的权利限制作出了特别说明，指导律师严格把控申报期限，防范程序性失权风险</w:t>
      </w:r>
      <w:r>
        <w:rPr>
          <w:rFonts w:hint="default"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第四章债权申报方式。</w:t>
      </w:r>
      <w:r>
        <w:rPr>
          <w:rFonts w:hint="default" w:ascii="仿宋_GB2312" w:hAnsi="仿宋_GB2312" w:eastAsia="仿宋_GB2312" w:cs="仿宋_GB2312"/>
          <w:sz w:val="32"/>
          <w:szCs w:val="32"/>
          <w:lang w:val="en-US" w:eastAsia="zh-CN"/>
        </w:rPr>
        <w:t xml:space="preserve"> 本章根据当前破产实务中常见的申报渠道，分别说明了现场申报、邮寄申报、网络申报三种方式的操作要点和注意事项，包括邮寄凭证的保留、电子申报成功证据的固定等，为律师选择适当的申报方式提供指引。</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 xml:space="preserve">第五章债权申报。 </w:t>
      </w:r>
      <w:r>
        <w:rPr>
          <w:rFonts w:hint="default" w:ascii="仿宋_GB2312" w:hAnsi="仿宋_GB2312" w:eastAsia="仿宋_GB2312" w:cs="仿宋_GB2312"/>
          <w:sz w:val="32"/>
          <w:szCs w:val="32"/>
          <w:lang w:val="en-US" w:eastAsia="zh-CN"/>
        </w:rPr>
        <w:t>本章是《操作指引》的核心章节，详细列明了债权申报材料的具体要求，涵盖债权申报表的填写规范、主体资格材料、授权委托手续、各类证据材料的收集与整理、送达地址确认书、收款账户信息等。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 xml:space="preserve">第六章债权核查。 </w:t>
      </w:r>
      <w:r>
        <w:rPr>
          <w:rFonts w:hint="default" w:ascii="仿宋_GB2312" w:hAnsi="仿宋_GB2312" w:eastAsia="仿宋_GB2312" w:cs="仿宋_GB2312"/>
          <w:sz w:val="32"/>
          <w:szCs w:val="32"/>
          <w:lang w:val="en-US" w:eastAsia="zh-CN"/>
        </w:rPr>
        <w:t>本章梳理了债权经管理人审查、债权人会议核查、人民法院裁定确认的三阶段确认流程，明确了律师在收到管理人《债权审查意见书》后的应对策略，并对暂缓确认债权的后续跟进作出了提示。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第七章破产债权确认诉讼（仲裁）</w:t>
      </w:r>
      <w:r>
        <w:rPr>
          <w:rFonts w:hint="default" w:ascii="仿宋_GB2312" w:hAnsi="仿宋_GB2312" w:eastAsia="仿宋_GB2312" w:cs="仿宋_GB2312"/>
          <w:sz w:val="32"/>
          <w:szCs w:val="32"/>
          <w:lang w:val="en-US" w:eastAsia="zh-CN"/>
        </w:rPr>
        <w:t>。本章针对债权异议后的救济途径作出指引，明确了提起债权确认诉讼的期限、管辖法院、仲裁条款的处理以及不同异议情形下的诉讼主体列明规则，指导律师依法及时启动救济程序。</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第八章附则。</w:t>
      </w:r>
      <w:r>
        <w:rPr>
          <w:rFonts w:hint="default" w:ascii="仿宋_GB2312" w:hAnsi="仿宋_GB2312" w:eastAsia="仿宋_GB2312" w:cs="仿宋_GB2312"/>
          <w:sz w:val="32"/>
          <w:szCs w:val="32"/>
          <w:lang w:val="en-US" w:eastAsia="zh-CN"/>
        </w:rPr>
        <w:t xml:space="preserve"> 本章说明指引的时效性基础，明确若本指引公布后相关法律、法规、司法解释有新规定的，应以新的规定为准，确保指引的适用性与合规性。</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1"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附件文书样式。</w:t>
      </w:r>
      <w:r>
        <w:rPr>
          <w:rFonts w:hint="eastAsia" w:ascii="仿宋_GB2312" w:hAnsi="仿宋_GB2312" w:eastAsia="仿宋_GB2312" w:cs="仿宋_GB2312"/>
          <w:sz w:val="32"/>
          <w:szCs w:val="32"/>
          <w:lang w:val="en-US" w:eastAsia="zh-CN"/>
        </w:rPr>
        <w:t>提供了一系列与代理申报债权业务密切相关的关键参考文书模板，为律师实务操作提供了标准化、便捷化的工具支持。</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破产与清算法律专业委员会</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4739" w:firstLineChars="1481"/>
        <w:textAlignment w:val="auto"/>
        <w:rPr>
          <w:rFonts w:hint="default" w:ascii="仿宋_GB2312" w:hAnsi="仿宋_GB2312" w:eastAsia="仿宋_GB2312" w:cs="仿宋_GB2312"/>
          <w:sz w:val="32"/>
          <w:szCs w:val="32"/>
          <w:lang w:val="en-US" w:eastAsia="zh-CN"/>
        </w:rPr>
      </w:pPr>
      <w:bookmarkStart w:id="0" w:name="_GoBack"/>
      <w:bookmarkEnd w:id="0"/>
      <w:r>
        <w:rPr>
          <w:rFonts w:hint="default" w:ascii="仿宋_GB2312" w:hAnsi="仿宋_GB2312" w:eastAsia="仿宋_GB2312" w:cs="仿宋_GB2312"/>
          <w:sz w:val="32"/>
          <w:szCs w:val="32"/>
          <w:lang w:val="en-US" w:eastAsia="zh-CN"/>
        </w:rPr>
        <w:t>二〇二</w:t>
      </w:r>
      <w:r>
        <w:rPr>
          <w:rFonts w:hint="eastAsia" w:ascii="仿宋_GB2312" w:hAnsi="仿宋_GB2312" w:eastAsia="仿宋_GB2312" w:cs="仿宋_GB2312"/>
          <w:sz w:val="32"/>
          <w:szCs w:val="32"/>
          <w:lang w:val="en-US" w:eastAsia="zh-CN"/>
        </w:rPr>
        <w:t>六</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十一</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Heiti SC Medium">
    <w:panose1 w:val="02000000000000000000"/>
    <w:charset w:val="86"/>
    <w:family w:val="auto"/>
    <w:pitch w:val="default"/>
    <w:sig w:usb0="8000002F" w:usb1="0800004A" w:usb2="00000000" w:usb3="00000000" w:csb0="203E0000" w:csb1="00000000"/>
  </w:font>
  <w:font w:name="华文仿宋">
    <w:panose1 w:val="02010600040101010101"/>
    <w:charset w:val="86"/>
    <w:family w:val="auto"/>
    <w:pitch w:val="default"/>
    <w:sig w:usb0="00000287" w:usb1="080F0000" w:usb2="00000000" w:usb3="00000000" w:csb0="0004009F" w:csb1="DFD70000"/>
  </w:font>
  <w:font w:name="DejaVu Sans">
    <w:altName w:val="苹方-简"/>
    <w:panose1 w:val="02020603050405020304"/>
    <w:charset w:val="00"/>
    <w:family w:val="roman"/>
    <w:pitch w:val="default"/>
    <w:sig w:usb0="00000000" w:usb1="00000000" w:usb2="00000008" w:usb3="00000000" w:csb0="000001FF" w:csb1="00000000"/>
  </w:font>
  <w:font w:name="仿宋_GB2312">
    <w:panose1 w:val="02010609030101010101"/>
    <w:charset w:val="86"/>
    <w:family w:val="auto"/>
    <w:pitch w:val="default"/>
    <w:sig w:usb0="00000001" w:usb1="080E0000" w:usb2="00000000" w:usb3="00000000" w:csb0="00040000" w:csb1="00000000"/>
  </w:font>
  <w:font w:name="楷体_GB2312">
    <w:altName w:val="汉仪楷体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简">
    <w:panose1 w:val="02010600000101010101"/>
    <w:charset w:val="86"/>
    <w:family w:val="auto"/>
    <w:pitch w:val="default"/>
    <w:sig w:usb0="00000001" w:usb1="080E0800" w:usb2="00000002"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39C105"/>
    <w:rsid w:val="06E731A0"/>
    <w:rsid w:val="06F75032"/>
    <w:rsid w:val="074F7C5E"/>
    <w:rsid w:val="16E37FE7"/>
    <w:rsid w:val="17DA113E"/>
    <w:rsid w:val="1F86B223"/>
    <w:rsid w:val="1FE0BE3F"/>
    <w:rsid w:val="27D7DE14"/>
    <w:rsid w:val="35ECFAFA"/>
    <w:rsid w:val="36B9067A"/>
    <w:rsid w:val="39BDB35B"/>
    <w:rsid w:val="3AE3ADCF"/>
    <w:rsid w:val="3E7EBE3F"/>
    <w:rsid w:val="3EF19089"/>
    <w:rsid w:val="3F3F37F2"/>
    <w:rsid w:val="3F7FE1B8"/>
    <w:rsid w:val="3FAF10AE"/>
    <w:rsid w:val="55FD1ECD"/>
    <w:rsid w:val="5BEF1ABC"/>
    <w:rsid w:val="5C1A7EC6"/>
    <w:rsid w:val="5E6B4CB1"/>
    <w:rsid w:val="5EBD9FB1"/>
    <w:rsid w:val="5FF76DCF"/>
    <w:rsid w:val="65E9B9FB"/>
    <w:rsid w:val="66CF4BCF"/>
    <w:rsid w:val="6BFB954E"/>
    <w:rsid w:val="6DF426DC"/>
    <w:rsid w:val="6E75A7EE"/>
    <w:rsid w:val="6E7EA094"/>
    <w:rsid w:val="6ECFF214"/>
    <w:rsid w:val="6F77C472"/>
    <w:rsid w:val="6FAD2DF5"/>
    <w:rsid w:val="711E9214"/>
    <w:rsid w:val="75ED057D"/>
    <w:rsid w:val="7763C5AB"/>
    <w:rsid w:val="77AD69DE"/>
    <w:rsid w:val="77FB30CA"/>
    <w:rsid w:val="7B7FEC67"/>
    <w:rsid w:val="7BB9342C"/>
    <w:rsid w:val="7C39C105"/>
    <w:rsid w:val="7DF55753"/>
    <w:rsid w:val="7E739CA1"/>
    <w:rsid w:val="7F6D100B"/>
    <w:rsid w:val="7F6F726D"/>
    <w:rsid w:val="7FBE6E4C"/>
    <w:rsid w:val="7FDF3182"/>
    <w:rsid w:val="7FEE7D7B"/>
    <w:rsid w:val="7FF6C74B"/>
    <w:rsid w:val="92E353B1"/>
    <w:rsid w:val="9F9F7939"/>
    <w:rsid w:val="AE7FB1B8"/>
    <w:rsid w:val="B3725E53"/>
    <w:rsid w:val="B3E2167D"/>
    <w:rsid w:val="B7EB2F71"/>
    <w:rsid w:val="BBE4E107"/>
    <w:rsid w:val="BBF9B6F1"/>
    <w:rsid w:val="BDE37BD0"/>
    <w:rsid w:val="BDFD985F"/>
    <w:rsid w:val="BFE12494"/>
    <w:rsid w:val="BFEDDF99"/>
    <w:rsid w:val="BFFFBB93"/>
    <w:rsid w:val="CB399895"/>
    <w:rsid w:val="CFFFB0CD"/>
    <w:rsid w:val="D578EA66"/>
    <w:rsid w:val="DBFB36FF"/>
    <w:rsid w:val="DCFE4507"/>
    <w:rsid w:val="DEFFA686"/>
    <w:rsid w:val="DF17F014"/>
    <w:rsid w:val="DFED0BFF"/>
    <w:rsid w:val="DFFD462A"/>
    <w:rsid w:val="E3DC3E57"/>
    <w:rsid w:val="E5F44B7F"/>
    <w:rsid w:val="EF7EFAD9"/>
    <w:rsid w:val="EFFE2A92"/>
    <w:rsid w:val="EFFE907C"/>
    <w:rsid w:val="EFFF1D88"/>
    <w:rsid w:val="F1FDD7C5"/>
    <w:rsid w:val="F3D6FC5A"/>
    <w:rsid w:val="F797489F"/>
    <w:rsid w:val="F7F0867A"/>
    <w:rsid w:val="FBBEB457"/>
    <w:rsid w:val="FDFD85B4"/>
    <w:rsid w:val="FDFFB734"/>
    <w:rsid w:val="FE3FF43C"/>
    <w:rsid w:val="FE716A8F"/>
    <w:rsid w:val="FE7F213F"/>
    <w:rsid w:val="FEDF1F5B"/>
    <w:rsid w:val="FEF524EB"/>
    <w:rsid w:val="FFA573BB"/>
    <w:rsid w:val="FFBFF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Office_6.3.0.8471_F1E327BC-269C-435d-A152-05C5408002CA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2024-12-23T02:40:00Z</dcterms:created>
  <dc:creator>袁新婷</dc:creator>
  <cp:lastModifiedBy>袁新婷</cp:lastModifiedBy>
  <dcterms:modified xsi:type="dcterms:W3CDTF">2026-11-03T15:40:43Z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90302CD3711A4E531CF1666AB8FB1BF0_43</vt:lpwstr>
  </property>
</Properties>
</file>