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C08B91">
      <w:pPr>
        <w:rPr>
          <w:rFonts w:ascii="Times New Roman" w:hAnsi="Times New Roman"/>
          <w:b/>
          <w:color w:val="333399"/>
          <w:sz w:val="44"/>
          <w:szCs w:val="44"/>
        </w:rPr>
      </w:pPr>
    </w:p>
    <w:p w14:paraId="3F20A2C9">
      <w:pPr>
        <w:ind w:firstLine="442" w:firstLineChars="100"/>
        <w:rPr>
          <w:rFonts w:ascii="Times New Roman" w:hAnsi="Times New Roman"/>
          <w:b/>
          <w:color w:val="333399"/>
          <w:sz w:val="44"/>
          <w:szCs w:val="44"/>
        </w:rPr>
      </w:pPr>
    </w:p>
    <w:p w14:paraId="19DEFAD9">
      <w:pPr>
        <w:ind w:firstLine="442" w:firstLineChars="100"/>
        <w:rPr>
          <w:rFonts w:ascii="Times New Roman" w:hAnsi="Times New Roman"/>
          <w:b/>
          <w:color w:val="333399"/>
          <w:sz w:val="44"/>
          <w:szCs w:val="44"/>
        </w:rPr>
      </w:pPr>
      <w:r>
        <w:rPr>
          <w:rFonts w:ascii="Times New Roman" w:hAnsi="Times New Roman" w:eastAsia="黑体"/>
          <w:b/>
          <w:bCs/>
          <w:color w:val="auto"/>
          <w:sz w:val="44"/>
          <w:szCs w:val="44"/>
        </w:rPr>
        <w:drawing>
          <wp:anchor distT="0" distB="0" distL="114300" distR="114300" simplePos="0" relativeHeight="251662336" behindDoc="0" locked="0" layoutInCell="1" allowOverlap="1">
            <wp:simplePos x="0" y="0"/>
            <wp:positionH relativeFrom="column">
              <wp:posOffset>319405</wp:posOffset>
            </wp:positionH>
            <wp:positionV relativeFrom="paragraph">
              <wp:posOffset>175895</wp:posOffset>
            </wp:positionV>
            <wp:extent cx="928370" cy="893445"/>
            <wp:effectExtent l="0" t="0" r="11430" b="20955"/>
            <wp:wrapSquare wrapText="bothSides"/>
            <wp:docPr id="1" name="图片 4" descr="8b033dc616ee12e8505e16acb991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4" descr="8b033dc616ee12e8505e16acb991300"/>
                    <pic:cNvPicPr>
                      <a:picLocks noChangeAspect="1"/>
                    </pic:cNvPicPr>
                  </pic:nvPicPr>
                  <pic:blipFill>
                    <a:blip r:embed="rId7"/>
                    <a:stretch>
                      <a:fillRect/>
                    </a:stretch>
                  </pic:blipFill>
                  <pic:spPr>
                    <a:xfrm>
                      <a:off x="0" y="0"/>
                      <a:ext cx="928370" cy="893445"/>
                    </a:xfrm>
                    <a:prstGeom prst="rect">
                      <a:avLst/>
                    </a:prstGeom>
                    <a:noFill/>
                    <a:ln>
                      <a:noFill/>
                    </a:ln>
                  </pic:spPr>
                </pic:pic>
              </a:graphicData>
            </a:graphic>
          </wp:anchor>
        </w:drawing>
      </w:r>
    </w:p>
    <w:p w14:paraId="7227CE6B">
      <w:pPr>
        <w:rPr>
          <w:rFonts w:ascii="Times New Roman" w:hAnsi="Times New Roman" w:eastAsia="黑体"/>
          <w:b/>
          <w:sz w:val="30"/>
          <w:szCs w:val="30"/>
        </w:rPr>
      </w:pPr>
      <w:r>
        <w:rPr>
          <w:rFonts w:ascii="Times New Roman" w:hAnsi="Times New Roman" w:eastAsia="黑体"/>
          <w:b/>
          <w:color w:val="333399"/>
          <w:sz w:val="30"/>
          <w:szCs w:val="30"/>
        </w:rPr>
        <w:t>辽宁省律师协会金融与保险法律专业委员会</w:t>
      </w:r>
    </w:p>
    <w:p w14:paraId="4F5E5B6E">
      <w:pPr>
        <w:spacing w:after="156" w:afterLines="50" w:line="360" w:lineRule="auto"/>
        <w:rPr>
          <w:rFonts w:ascii="Times New Roman" w:hAnsi="Times New Roman"/>
          <w:b/>
          <w:color w:val="333399"/>
          <w:szCs w:val="24"/>
        </w:rPr>
      </w:pPr>
    </w:p>
    <w:p w14:paraId="67260F84">
      <w:pPr>
        <w:spacing w:after="156" w:afterLines="50" w:line="360" w:lineRule="auto"/>
        <w:rPr>
          <w:rFonts w:ascii="Times New Roman" w:hAnsi="Times New Roman"/>
          <w:b/>
          <w:color w:val="333399"/>
          <w:szCs w:val="24"/>
        </w:rPr>
      </w:pPr>
      <w:r>
        <w:rPr>
          <w:rFonts w:ascii="Times New Roman" w:hAnsi="Times New Roman"/>
          <w:b/>
          <w:color w:val="333399"/>
          <w:szCs w:val="24"/>
        </w:rPr>
        <w:drawing>
          <wp:anchor distT="0" distB="0" distL="114300" distR="114300" simplePos="0" relativeHeight="251661312" behindDoc="1" locked="0" layoutInCell="1" allowOverlap="1">
            <wp:simplePos x="0" y="0"/>
            <wp:positionH relativeFrom="column">
              <wp:posOffset>263525</wp:posOffset>
            </wp:positionH>
            <wp:positionV relativeFrom="paragraph">
              <wp:posOffset>27940</wp:posOffset>
            </wp:positionV>
            <wp:extent cx="1045210" cy="1104900"/>
            <wp:effectExtent l="0" t="0" r="21590" b="12700"/>
            <wp:wrapTight wrapText="bothSides">
              <wp:wrapPolygon>
                <wp:start x="0" y="0"/>
                <wp:lineTo x="0" y="21352"/>
                <wp:lineTo x="20996" y="21352"/>
                <wp:lineTo x="20996" y="0"/>
                <wp:lineTo x="0" y="0"/>
              </wp:wrapPolygon>
            </wp:wrapTight>
            <wp:docPr id="3" name="图片 3" descr="d994e31e110a342b033d5f285961d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d994e31e110a342b033d5f285961dae"/>
                    <pic:cNvPicPr>
                      <a:picLocks noChangeAspect="1"/>
                    </pic:cNvPicPr>
                  </pic:nvPicPr>
                  <pic:blipFill>
                    <a:blip r:embed="rId8"/>
                    <a:srcRect l="11789" r="12602" b="3822"/>
                    <a:stretch>
                      <a:fillRect/>
                    </a:stretch>
                  </pic:blipFill>
                  <pic:spPr>
                    <a:xfrm>
                      <a:off x="0" y="0"/>
                      <a:ext cx="1045210" cy="1104900"/>
                    </a:xfrm>
                    <a:prstGeom prst="rect">
                      <a:avLst/>
                    </a:prstGeom>
                    <a:noFill/>
                    <a:ln>
                      <a:noFill/>
                    </a:ln>
                  </pic:spPr>
                </pic:pic>
              </a:graphicData>
            </a:graphic>
          </wp:anchor>
        </w:drawing>
      </w:r>
    </w:p>
    <w:p w14:paraId="41CCFC1E">
      <w:pPr>
        <w:rPr>
          <w:rFonts w:ascii="Times New Roman" w:hAnsi="Times New Roman" w:eastAsia="黑体"/>
          <w:b/>
          <w:color w:val="333399"/>
          <w:sz w:val="30"/>
          <w:szCs w:val="30"/>
        </w:rPr>
      </w:pPr>
      <w:r>
        <w:rPr>
          <w:rFonts w:ascii="Times New Roman" w:hAnsi="Times New Roman" w:eastAsia="黑体"/>
          <w:b/>
          <w:color w:val="333399"/>
          <w:sz w:val="30"/>
          <w:szCs w:val="30"/>
        </w:rPr>
        <w:t>大连市律师协会证券期货法律专业委员会</w:t>
      </w:r>
    </w:p>
    <w:p w14:paraId="53C73EB9">
      <w:pPr>
        <w:ind w:firstLine="442" w:firstLineChars="100"/>
        <w:rPr>
          <w:rFonts w:ascii="Times New Roman" w:hAnsi="Times New Roman"/>
          <w:b/>
          <w:color w:val="333399"/>
          <w:sz w:val="44"/>
          <w:szCs w:val="44"/>
        </w:rPr>
      </w:pPr>
    </w:p>
    <w:p w14:paraId="55B4E106">
      <w:pPr>
        <w:jc w:val="center"/>
        <w:rPr>
          <w:rFonts w:ascii="Times New Roman" w:hAnsi="Times New Roman" w:eastAsia="黑体"/>
          <w:b/>
          <w:color w:val="FF0000"/>
          <w:sz w:val="52"/>
          <w:szCs w:val="52"/>
        </w:rPr>
      </w:pPr>
      <w:r>
        <w:rPr>
          <w:rFonts w:ascii="Times New Roman" w:hAnsi="Times New Roman" w:eastAsia="黑体"/>
          <w:b/>
          <w:color w:val="FF0000"/>
          <w:sz w:val="52"/>
          <w:szCs w:val="52"/>
        </w:rPr>
        <w:t>资本市场信息</w:t>
      </w:r>
    </w:p>
    <w:p w14:paraId="6C95DF36">
      <w:pPr>
        <w:jc w:val="center"/>
        <w:rPr>
          <w:rFonts w:ascii="Times New Roman" w:hAnsi="Times New Roman"/>
          <w:b/>
          <w:color w:val="auto"/>
          <w:sz w:val="32"/>
          <w:szCs w:val="32"/>
        </w:rPr>
      </w:pPr>
    </w:p>
    <w:p w14:paraId="60B8115D">
      <w:pPr>
        <w:spacing w:line="480" w:lineRule="auto"/>
        <w:jc w:val="center"/>
        <w:rPr>
          <w:rFonts w:ascii="Times New Roman" w:hAnsi="Times New Roman" w:eastAsia="黑体"/>
          <w:b/>
          <w:bCs/>
          <w:color w:val="auto"/>
          <w:szCs w:val="24"/>
        </w:rPr>
      </w:pPr>
      <w:r>
        <w:rPr>
          <w:rFonts w:ascii="Times New Roman" w:hAnsi="Times New Roman" w:eastAsia="黑体"/>
          <w:b/>
          <w:bCs/>
          <w:color w:val="auto"/>
          <w:szCs w:val="24"/>
        </w:rPr>
        <w:t>202</w:t>
      </w:r>
      <w:r>
        <w:rPr>
          <w:rFonts w:hint="eastAsia" w:ascii="Times New Roman" w:hAnsi="Times New Roman" w:eastAsia="黑体"/>
          <w:b/>
          <w:bCs/>
          <w:color w:val="auto"/>
          <w:szCs w:val="24"/>
          <w:lang w:val="en-US" w:eastAsia="zh-CN"/>
        </w:rPr>
        <w:t>6</w:t>
      </w:r>
      <w:r>
        <w:rPr>
          <w:rFonts w:ascii="Times New Roman" w:hAnsi="Times New Roman" w:eastAsia="黑体"/>
          <w:b/>
          <w:bCs/>
          <w:color w:val="auto"/>
          <w:szCs w:val="24"/>
        </w:rPr>
        <w:t>年第</w:t>
      </w:r>
      <w:r>
        <w:rPr>
          <w:rFonts w:hint="eastAsia" w:ascii="Times New Roman" w:hAnsi="Times New Roman" w:eastAsia="黑体"/>
          <w:b/>
          <w:bCs/>
          <w:color w:val="auto"/>
          <w:szCs w:val="24"/>
          <w:lang w:val="en-US" w:eastAsia="zh-CN"/>
        </w:rPr>
        <w:t>5</w:t>
      </w:r>
      <w:r>
        <w:rPr>
          <w:rFonts w:ascii="Times New Roman" w:hAnsi="Times New Roman" w:eastAsia="黑体"/>
          <w:b/>
          <w:bCs/>
          <w:color w:val="auto"/>
          <w:szCs w:val="24"/>
        </w:rPr>
        <w:t>期</w:t>
      </w:r>
    </w:p>
    <w:p w14:paraId="4785AECD">
      <w:pPr>
        <w:spacing w:line="480" w:lineRule="auto"/>
        <w:jc w:val="center"/>
        <w:rPr>
          <w:rFonts w:ascii="Times New Roman" w:hAnsi="Times New Roman" w:eastAsia="黑体"/>
          <w:b/>
          <w:bCs/>
          <w:color w:val="auto"/>
          <w:szCs w:val="24"/>
        </w:rPr>
      </w:pPr>
      <w:r>
        <mc:AlternateContent>
          <mc:Choice Requires="wps">
            <w:drawing>
              <wp:anchor distT="0" distB="0" distL="114300" distR="114300" simplePos="0" relativeHeight="251660288" behindDoc="0" locked="0" layoutInCell="1" allowOverlap="1">
                <wp:simplePos x="0" y="0"/>
                <wp:positionH relativeFrom="margin">
                  <wp:posOffset>89535</wp:posOffset>
                </wp:positionH>
                <wp:positionV relativeFrom="paragraph">
                  <wp:posOffset>2434590</wp:posOffset>
                </wp:positionV>
                <wp:extent cx="5674360" cy="1234440"/>
                <wp:effectExtent l="6350" t="6350" r="8890" b="29210"/>
                <wp:wrapSquare wrapText="bothSides"/>
                <wp:docPr id="5" name="文本框 5"/>
                <wp:cNvGraphicFramePr/>
                <a:graphic xmlns:a="http://schemas.openxmlformats.org/drawingml/2006/main">
                  <a:graphicData uri="http://schemas.microsoft.com/office/word/2010/wordprocessingShape">
                    <wps:wsp>
                      <wps:cNvSpPr txBox="1"/>
                      <wps:spPr>
                        <a:xfrm>
                          <a:off x="0" y="0"/>
                          <a:ext cx="5674360" cy="1234440"/>
                        </a:xfrm>
                        <a:prstGeom prst="rect">
                          <a:avLst/>
                        </a:prstGeom>
                        <a:solidFill>
                          <a:srgbClr val="FFFFFF"/>
                        </a:solidFill>
                        <a:ln w="12700" cap="flat" cmpd="sng">
                          <a:solidFill>
                            <a:srgbClr val="1313AD"/>
                          </a:solidFill>
                          <a:prstDash val="solid"/>
                          <a:miter/>
                          <a:headEnd type="none" w="med" len="med"/>
                          <a:tailEnd type="none" w="med" len="med"/>
                        </a:ln>
                      </wps:spPr>
                      <wps:txbx>
                        <w:txbxContent>
                          <w:p w14:paraId="34F55977">
                            <w:pPr>
                              <w:rPr>
                                <w:rFonts w:ascii="黑体" w:hAnsi="黑体" w:eastAsia="黑体" w:cs="黑体"/>
                                <w:b/>
                                <w:color w:val="333399"/>
                                <w:sz w:val="21"/>
                                <w:szCs w:val="21"/>
                              </w:rPr>
                            </w:pPr>
                            <w:r>
                              <w:rPr>
                                <w:rFonts w:hint="eastAsia" w:ascii="黑体" w:hAnsi="黑体" w:eastAsia="黑体" w:cs="黑体"/>
                                <w:b/>
                                <w:color w:val="333399"/>
                                <w:sz w:val="21"/>
                                <w:szCs w:val="21"/>
                              </w:rPr>
                              <w:t>特别声明：本信息简报所载内容均来自国内报刊、专业网站已发表的文章。在任何情形下，本信息简报均不可作为法律意见、作出行动或制止行动的依据。</w:t>
                            </w:r>
                          </w:p>
                          <w:p w14:paraId="7C352790">
                            <w:pPr>
                              <w:rPr>
                                <w:rFonts w:ascii="黑体" w:hAnsi="黑体" w:eastAsia="黑体" w:cs="黑体"/>
                                <w:b/>
                                <w:color w:val="333399"/>
                                <w:sz w:val="21"/>
                                <w:szCs w:val="21"/>
                              </w:rPr>
                            </w:pPr>
                          </w:p>
                          <w:p w14:paraId="69110033">
                            <w:pPr>
                              <w:rPr>
                                <w:rFonts w:ascii="黑体" w:hAnsi="黑体" w:eastAsia="黑体" w:cs="黑体"/>
                                <w:b/>
                                <w:color w:val="333399"/>
                                <w:sz w:val="21"/>
                                <w:szCs w:val="21"/>
                              </w:rPr>
                            </w:pPr>
                            <w:r>
                              <w:rPr>
                                <w:rFonts w:hint="eastAsia" w:ascii="黑体" w:hAnsi="黑体" w:eastAsia="黑体" w:cs="黑体"/>
                                <w:b/>
                                <w:color w:val="333399"/>
                                <w:sz w:val="21"/>
                                <w:szCs w:val="21"/>
                              </w:rPr>
                              <w:t>版权保护：本信息简报由辽宁省律师协会金融与保险法律专业委员会、大连市律师协会证券期货法律专业委员会共同编辑并发布。任何有关本信息简报的转载或摘编，请注明出处。</w:t>
                            </w:r>
                          </w:p>
                        </w:txbxContent>
                      </wps:txbx>
                      <wps:bodyPr upright="1"/>
                    </wps:wsp>
                  </a:graphicData>
                </a:graphic>
              </wp:anchor>
            </w:drawing>
          </mc:Choice>
          <mc:Fallback>
            <w:pict>
              <v:shape id="_x0000_s1026" o:spid="_x0000_s1026" o:spt="202" type="#_x0000_t202" style="position:absolute;left:0pt;margin-left:7.05pt;margin-top:191.7pt;height:97.2pt;width:446.8pt;mso-position-horizontal-relative:margin;mso-wrap-distance-bottom:0pt;mso-wrap-distance-left:9pt;mso-wrap-distance-right:9pt;mso-wrap-distance-top:0pt;z-index:251660288;mso-width-relative:page;mso-height-relative:page;" fillcolor="#FFFFFF" filled="t" stroked="t" coordsize="21600,21600" o:gfxdata="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AKF4vI2QAAAAoBAAAPAAAAAAAAAAEA&#10;IAAAACIAAABkcnMvZG93bnJldi54bWxQSwECFAAUAAAACACHTuJAIejIgw4CAAA4BAAADgAAAAAA&#10;AAABACAAAAAoAQAAZHJzL2Uyb0RvYy54bWxQSwUGAAAAAAYABgBZAQAAqAUAAAAA&#10;">
                <v:fill on="t" focussize="0,0"/>
                <v:stroke weight="1pt" color="#1313AD" joinstyle="miter"/>
                <v:imagedata o:title=""/>
                <o:lock v:ext="edit" aspectratio="f"/>
                <v:textbox>
                  <w:txbxContent>
                    <w:p w14:paraId="34F55977">
                      <w:pPr>
                        <w:rPr>
                          <w:rFonts w:ascii="黑体" w:hAnsi="黑体" w:eastAsia="黑体" w:cs="黑体"/>
                          <w:b/>
                          <w:color w:val="333399"/>
                          <w:sz w:val="21"/>
                          <w:szCs w:val="21"/>
                        </w:rPr>
                      </w:pPr>
                      <w:r>
                        <w:rPr>
                          <w:rFonts w:hint="eastAsia" w:ascii="黑体" w:hAnsi="黑体" w:eastAsia="黑体" w:cs="黑体"/>
                          <w:b/>
                          <w:color w:val="333399"/>
                          <w:sz w:val="21"/>
                          <w:szCs w:val="21"/>
                        </w:rPr>
                        <w:t>特别声明：本信息简报所载内容均来自国内报刊、专业网站已发表的文章。在任何情形下，本信息简报均不可作为法律意见、作出行动或制止行动的依据。</w:t>
                      </w:r>
                    </w:p>
                    <w:p w14:paraId="7C352790">
                      <w:pPr>
                        <w:rPr>
                          <w:rFonts w:ascii="黑体" w:hAnsi="黑体" w:eastAsia="黑体" w:cs="黑体"/>
                          <w:b/>
                          <w:color w:val="333399"/>
                          <w:sz w:val="21"/>
                          <w:szCs w:val="21"/>
                        </w:rPr>
                      </w:pPr>
                    </w:p>
                    <w:p w14:paraId="69110033">
                      <w:pPr>
                        <w:rPr>
                          <w:rFonts w:ascii="黑体" w:hAnsi="黑体" w:eastAsia="黑体" w:cs="黑体"/>
                          <w:b/>
                          <w:color w:val="333399"/>
                          <w:sz w:val="21"/>
                          <w:szCs w:val="21"/>
                        </w:rPr>
                      </w:pPr>
                      <w:r>
                        <w:rPr>
                          <w:rFonts w:hint="eastAsia" w:ascii="黑体" w:hAnsi="黑体" w:eastAsia="黑体" w:cs="黑体"/>
                          <w:b/>
                          <w:color w:val="333399"/>
                          <w:sz w:val="21"/>
                          <w:szCs w:val="21"/>
                        </w:rPr>
                        <w:t>版权保护：本信息简报由辽宁省律师协会金融与保险法律专业委员会、大连市律师协会证券期货法律专业委员会共同编辑并发布。任何有关本信息简报的转载或摘编，请注明出处。</w:t>
                      </w:r>
                    </w:p>
                  </w:txbxContent>
                </v:textbox>
                <w10:wrap type="square"/>
              </v:shape>
            </w:pict>
          </mc:Fallback>
        </mc:AlternateContent>
      </w:r>
      <w:r>
        <mc:AlternateContent>
          <mc:Choice Requires="wps">
            <w:drawing>
              <wp:anchor distT="0" distB="0" distL="114300" distR="114300" simplePos="0" relativeHeight="251659264" behindDoc="0" locked="0" layoutInCell="1" allowOverlap="1">
                <wp:simplePos x="0" y="0"/>
                <wp:positionH relativeFrom="column">
                  <wp:posOffset>1126490</wp:posOffset>
                </wp:positionH>
                <wp:positionV relativeFrom="paragraph">
                  <wp:posOffset>473710</wp:posOffset>
                </wp:positionV>
                <wp:extent cx="4003675" cy="1653540"/>
                <wp:effectExtent l="0" t="0" r="0" b="0"/>
                <wp:wrapSquare wrapText="bothSides"/>
                <wp:docPr id="4" name="文本框 4"/>
                <wp:cNvGraphicFramePr/>
                <a:graphic xmlns:a="http://schemas.openxmlformats.org/drawingml/2006/main">
                  <a:graphicData uri="http://schemas.microsoft.com/office/word/2010/wordprocessingShape">
                    <wps:wsp>
                      <wps:cNvSpPr txBox="1"/>
                      <wps:spPr>
                        <a:xfrm>
                          <a:off x="0" y="0"/>
                          <a:ext cx="4003675" cy="1653540"/>
                        </a:xfrm>
                        <a:prstGeom prst="rect">
                          <a:avLst/>
                        </a:prstGeom>
                        <a:noFill/>
                        <a:ln>
                          <a:noFill/>
                        </a:ln>
                      </wps:spPr>
                      <wps:txbx>
                        <w:txbxContent>
                          <w:p w14:paraId="6CF8DDD0">
                            <w:pPr>
                              <w:pStyle w:val="4"/>
                              <w:spacing w:after="0" w:line="360" w:lineRule="auto"/>
                              <w:rPr>
                                <w:rFonts w:ascii="黑体" w:hAnsi="黑体" w:eastAsia="黑体" w:cs="黑体"/>
                                <w:color w:val="auto"/>
                                <w:szCs w:val="24"/>
                              </w:rPr>
                            </w:pPr>
                          </w:p>
                          <w:p w14:paraId="6497B64F">
                            <w:pPr>
                              <w:pStyle w:val="4"/>
                              <w:spacing w:after="0" w:line="360" w:lineRule="auto"/>
                              <w:rPr>
                                <w:rFonts w:hint="default" w:ascii="黑体" w:hAnsi="黑体" w:eastAsia="黑体" w:cs="黑体"/>
                                <w:color w:val="auto"/>
                                <w:szCs w:val="24"/>
                                <w:lang w:val="en-US" w:eastAsia="zh-CN"/>
                              </w:rPr>
                            </w:pPr>
                            <w:r>
                              <w:rPr>
                                <w:rFonts w:hint="eastAsia" w:ascii="黑体" w:hAnsi="黑体" w:eastAsia="黑体" w:cs="黑体"/>
                                <w:color w:val="auto"/>
                                <w:szCs w:val="24"/>
                              </w:rPr>
                              <w:t>本期编辑：</w:t>
                            </w:r>
                            <w:r>
                              <w:rPr>
                                <w:rFonts w:hint="eastAsia" w:ascii="黑体" w:hAnsi="黑体" w:eastAsia="黑体" w:cs="黑体"/>
                                <w:color w:val="auto"/>
                                <w:szCs w:val="24"/>
                                <w:lang w:val="en-US" w:eastAsia="zh-CN"/>
                              </w:rPr>
                              <w:t>周一琳   北京大成（大连）</w:t>
                            </w:r>
                            <w:r>
                              <w:rPr>
                                <w:rFonts w:hint="eastAsia" w:ascii="黑体" w:hAnsi="黑体" w:eastAsia="黑体" w:cs="黑体"/>
                                <w:color w:val="auto"/>
                                <w:szCs w:val="24"/>
                              </w:rPr>
                              <w:t>律师事务所</w:t>
                            </w:r>
                            <w:r>
                              <w:rPr>
                                <w:rFonts w:hint="eastAsia" w:ascii="黑体" w:hAnsi="黑体" w:eastAsia="黑体" w:cs="黑体"/>
                                <w:color w:val="auto"/>
                                <w:szCs w:val="24"/>
                                <w:lang w:val="en-US" w:eastAsia="zh-CN"/>
                              </w:rPr>
                              <w:t xml:space="preserve">      </w:t>
                            </w:r>
                          </w:p>
                          <w:p w14:paraId="171AA94D">
                            <w:pPr>
                              <w:pStyle w:val="4"/>
                              <w:spacing w:after="0" w:line="360" w:lineRule="auto"/>
                              <w:rPr>
                                <w:rFonts w:ascii="Arial Black" w:hAnsi="Arial Black"/>
                                <w:color w:val="333399"/>
                                <w:szCs w:val="24"/>
                              </w:rPr>
                            </w:pPr>
                            <w:r>
                              <w:rPr>
                                <w:rFonts w:hint="eastAsia" w:ascii="黑体" w:hAnsi="黑体" w:eastAsia="黑体" w:cs="黑体"/>
                                <w:color w:val="auto"/>
                                <w:szCs w:val="24"/>
                              </w:rPr>
                              <w:t xml:space="preserve">责任编辑：潘晓黎  </w:t>
                            </w:r>
                            <w:r>
                              <w:rPr>
                                <w:rFonts w:hint="eastAsia" w:ascii="黑体" w:hAnsi="黑体" w:eastAsia="黑体" w:cs="黑体"/>
                                <w:color w:val="auto"/>
                                <w:szCs w:val="24"/>
                                <w:lang w:val="en-US" w:eastAsia="zh-CN"/>
                              </w:rPr>
                              <w:t xml:space="preserve"> </w:t>
                            </w:r>
                            <w:r>
                              <w:rPr>
                                <w:rFonts w:hint="eastAsia" w:ascii="黑体" w:hAnsi="黑体" w:eastAsia="黑体" w:cs="黑体"/>
                                <w:color w:val="auto"/>
                                <w:szCs w:val="24"/>
                              </w:rPr>
                              <w:t>北京观韬（大连）律师事务所</w:t>
                            </w:r>
                          </w:p>
                          <w:p w14:paraId="221BC748">
                            <w:pPr>
                              <w:pStyle w:val="4"/>
                              <w:spacing w:after="0" w:line="360" w:lineRule="auto"/>
                              <w:rPr>
                                <w:rFonts w:ascii="Arial Black" w:hAnsi="Arial Black"/>
                                <w:b/>
                                <w:bCs/>
                                <w:color w:val="333399"/>
                                <w:sz w:val="21"/>
                                <w:szCs w:val="21"/>
                              </w:rPr>
                            </w:pPr>
                          </w:p>
                        </w:txbxContent>
                      </wps:txbx>
                      <wps:bodyPr upright="1"/>
                    </wps:wsp>
                  </a:graphicData>
                </a:graphic>
              </wp:anchor>
            </w:drawing>
          </mc:Choice>
          <mc:Fallback>
            <w:pict>
              <v:shape id="_x0000_s1026" o:spid="_x0000_s1026" o:spt="202" type="#_x0000_t202" style="position:absolute;left:0pt;margin-left:88.7pt;margin-top:37.3pt;height:130.2pt;width:315.25pt;mso-wrap-distance-bottom:0pt;mso-wrap-distance-left:9pt;mso-wrap-distance-right:9pt;mso-wrap-distance-top:0pt;z-index:251659264;mso-width-relative:page;mso-height-relative:page;" filled="f" stroked="f" coordsize="21600,21600" o:gfxdata="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BWzW8TX&#10;AAAACgEAAA8AAAAAAAAAAQAgAAAAIgAAAGRycy9kb3ducmV2LnhtbFBLAQIUABQAAAAIAIdO4kCn&#10;siptrwEAAE8DAAAOAAAAAAAAAAEAIAAAACYBAABkcnMvZTJvRG9jLnhtbFBLBQYAAAAABgAGAFkB&#10;AABHBQAAAAA=&#10;">
                <v:fill on="f" focussize="0,0"/>
                <v:stroke on="f"/>
                <v:imagedata o:title=""/>
                <o:lock v:ext="edit" aspectratio="f"/>
                <v:textbox>
                  <w:txbxContent>
                    <w:p w14:paraId="6CF8DDD0">
                      <w:pPr>
                        <w:pStyle w:val="4"/>
                        <w:spacing w:after="0" w:line="360" w:lineRule="auto"/>
                        <w:rPr>
                          <w:rFonts w:ascii="黑体" w:hAnsi="黑体" w:eastAsia="黑体" w:cs="黑体"/>
                          <w:color w:val="auto"/>
                          <w:szCs w:val="24"/>
                        </w:rPr>
                      </w:pPr>
                    </w:p>
                    <w:p w14:paraId="6497B64F">
                      <w:pPr>
                        <w:pStyle w:val="4"/>
                        <w:spacing w:after="0" w:line="360" w:lineRule="auto"/>
                        <w:rPr>
                          <w:rFonts w:hint="default" w:ascii="黑体" w:hAnsi="黑体" w:eastAsia="黑体" w:cs="黑体"/>
                          <w:color w:val="auto"/>
                          <w:szCs w:val="24"/>
                          <w:lang w:val="en-US" w:eastAsia="zh-CN"/>
                        </w:rPr>
                      </w:pPr>
                      <w:r>
                        <w:rPr>
                          <w:rFonts w:hint="eastAsia" w:ascii="黑体" w:hAnsi="黑体" w:eastAsia="黑体" w:cs="黑体"/>
                          <w:color w:val="auto"/>
                          <w:szCs w:val="24"/>
                        </w:rPr>
                        <w:t>本期编辑：</w:t>
                      </w:r>
                      <w:r>
                        <w:rPr>
                          <w:rFonts w:hint="eastAsia" w:ascii="黑体" w:hAnsi="黑体" w:eastAsia="黑体" w:cs="黑体"/>
                          <w:color w:val="auto"/>
                          <w:szCs w:val="24"/>
                          <w:lang w:val="en-US" w:eastAsia="zh-CN"/>
                        </w:rPr>
                        <w:t>周一琳   北京大成（大连）</w:t>
                      </w:r>
                      <w:r>
                        <w:rPr>
                          <w:rFonts w:hint="eastAsia" w:ascii="黑体" w:hAnsi="黑体" w:eastAsia="黑体" w:cs="黑体"/>
                          <w:color w:val="auto"/>
                          <w:szCs w:val="24"/>
                        </w:rPr>
                        <w:t>律师事务所</w:t>
                      </w:r>
                      <w:r>
                        <w:rPr>
                          <w:rFonts w:hint="eastAsia" w:ascii="黑体" w:hAnsi="黑体" w:eastAsia="黑体" w:cs="黑体"/>
                          <w:color w:val="auto"/>
                          <w:szCs w:val="24"/>
                          <w:lang w:val="en-US" w:eastAsia="zh-CN"/>
                        </w:rPr>
                        <w:t xml:space="preserve">      </w:t>
                      </w:r>
                    </w:p>
                    <w:p w14:paraId="171AA94D">
                      <w:pPr>
                        <w:pStyle w:val="4"/>
                        <w:spacing w:after="0" w:line="360" w:lineRule="auto"/>
                        <w:rPr>
                          <w:rFonts w:ascii="Arial Black" w:hAnsi="Arial Black"/>
                          <w:color w:val="333399"/>
                          <w:szCs w:val="24"/>
                        </w:rPr>
                      </w:pPr>
                      <w:r>
                        <w:rPr>
                          <w:rFonts w:hint="eastAsia" w:ascii="黑体" w:hAnsi="黑体" w:eastAsia="黑体" w:cs="黑体"/>
                          <w:color w:val="auto"/>
                          <w:szCs w:val="24"/>
                        </w:rPr>
                        <w:t xml:space="preserve">责任编辑：潘晓黎  </w:t>
                      </w:r>
                      <w:r>
                        <w:rPr>
                          <w:rFonts w:hint="eastAsia" w:ascii="黑体" w:hAnsi="黑体" w:eastAsia="黑体" w:cs="黑体"/>
                          <w:color w:val="auto"/>
                          <w:szCs w:val="24"/>
                          <w:lang w:val="en-US" w:eastAsia="zh-CN"/>
                        </w:rPr>
                        <w:t xml:space="preserve"> </w:t>
                      </w:r>
                      <w:r>
                        <w:rPr>
                          <w:rFonts w:hint="eastAsia" w:ascii="黑体" w:hAnsi="黑体" w:eastAsia="黑体" w:cs="黑体"/>
                          <w:color w:val="auto"/>
                          <w:szCs w:val="24"/>
                        </w:rPr>
                        <w:t>北京观韬（大连）律师事务所</w:t>
                      </w:r>
                    </w:p>
                    <w:p w14:paraId="221BC748">
                      <w:pPr>
                        <w:pStyle w:val="4"/>
                        <w:spacing w:after="0" w:line="360" w:lineRule="auto"/>
                        <w:rPr>
                          <w:rFonts w:ascii="Arial Black" w:hAnsi="Arial Black"/>
                          <w:b/>
                          <w:bCs/>
                          <w:color w:val="333399"/>
                          <w:sz w:val="21"/>
                          <w:szCs w:val="21"/>
                        </w:rPr>
                      </w:pPr>
                    </w:p>
                  </w:txbxContent>
                </v:textbox>
                <w10:wrap type="square"/>
              </v:shape>
            </w:pict>
          </mc:Fallback>
        </mc:AlternateContent>
      </w:r>
      <w:r>
        <w:rPr>
          <w:rFonts w:ascii="Times New Roman" w:hAnsi="Times New Roman" w:eastAsia="黑体"/>
          <w:b/>
          <w:bCs/>
          <w:color w:val="auto"/>
          <w:szCs w:val="24"/>
        </w:rPr>
        <w:t>总第</w:t>
      </w:r>
      <w:r>
        <w:rPr>
          <w:rFonts w:hint="eastAsia" w:ascii="Times New Roman" w:hAnsi="Times New Roman" w:eastAsia="黑体"/>
          <w:b/>
          <w:bCs/>
          <w:color w:val="auto"/>
          <w:szCs w:val="24"/>
        </w:rPr>
        <w:t>一百</w:t>
      </w:r>
      <w:r>
        <w:rPr>
          <w:rFonts w:hint="eastAsia" w:ascii="Times New Roman" w:hAnsi="Times New Roman" w:eastAsia="黑体"/>
          <w:b/>
          <w:bCs/>
          <w:color w:val="auto"/>
          <w:szCs w:val="24"/>
          <w:lang w:val="en-US" w:eastAsia="zh-CN"/>
        </w:rPr>
        <w:t>八十一</w:t>
      </w:r>
      <w:r>
        <w:rPr>
          <w:rFonts w:ascii="Times New Roman" w:hAnsi="Times New Roman" w:eastAsia="黑体"/>
          <w:b/>
          <w:bCs/>
          <w:color w:val="auto"/>
          <w:szCs w:val="24"/>
        </w:rPr>
        <w:t>期</w:t>
      </w:r>
    </w:p>
    <w:p w14:paraId="25CB7F3A">
      <w:pPr>
        <w:rPr>
          <w:rFonts w:ascii="Times New Roman" w:hAnsi="Times New Roman" w:eastAsia="黑体"/>
          <w:b/>
          <w:color w:val="auto"/>
          <w:szCs w:val="24"/>
        </w:rPr>
        <w:sectPr>
          <w:footerReference r:id="rId3" w:type="default"/>
          <w:pgSz w:w="11906" w:h="16838"/>
          <w:pgMar w:top="1440" w:right="1417" w:bottom="1440" w:left="1417" w:header="851" w:footer="992" w:gutter="0"/>
          <w:cols w:space="720" w:num="1"/>
          <w:titlePg/>
          <w:docGrid w:type="lines" w:linePitch="312" w:charSpace="0"/>
        </w:sectPr>
      </w:pPr>
    </w:p>
    <w:p w14:paraId="194B9CA6">
      <w:pPr>
        <w:tabs>
          <w:tab w:val="left" w:pos="0"/>
          <w:tab w:val="left" w:pos="840"/>
        </w:tabs>
        <w:spacing w:before="156" w:beforeLines="50" w:after="156" w:afterLines="50"/>
        <w:rPr>
          <w:rFonts w:ascii="Times New Roman" w:hAnsi="Times New Roman" w:eastAsia="黑体"/>
          <w:b/>
          <w:color w:val="FFFFFF"/>
          <w:sz w:val="32"/>
          <w:szCs w:val="32"/>
          <w:highlight w:val="blue"/>
          <w:shd w:val="clear" w:color="FFFFFF" w:fill="D9D9D9"/>
        </w:rPr>
      </w:pPr>
      <w:r>
        <w:rPr>
          <w:rFonts w:ascii="Times New Roman" w:hAnsi="Times New Roman" w:eastAsia="黑体"/>
          <w:b/>
          <w:color w:val="FFFFFF"/>
          <w:sz w:val="32"/>
          <w:szCs w:val="32"/>
          <w:highlight w:val="blue"/>
          <w:shd w:val="clear" w:color="FFFFFF" w:fill="D9D9D9"/>
        </w:rPr>
        <w:t>资本市场最新动态</w:t>
      </w:r>
    </w:p>
    <w:p w14:paraId="50662F74">
      <w:pPr>
        <w:numPr>
          <w:ilvl w:val="1"/>
          <w:numId w:val="1"/>
        </w:numPr>
        <w:tabs>
          <w:tab w:val="left" w:pos="0"/>
          <w:tab w:val="left" w:pos="840"/>
          <w:tab w:val="clear" w:pos="846"/>
        </w:tabs>
        <w:spacing w:after="156" w:afterLines="50" w:line="360" w:lineRule="auto"/>
        <w:ind w:left="0" w:firstLine="480" w:firstLineChars="200"/>
        <w:rPr>
          <w:rFonts w:ascii="Times New Roman" w:hAnsi="Times New Roman" w:eastAsia="宋体"/>
          <w:color w:val="auto"/>
          <w:szCs w:val="24"/>
        </w:rPr>
      </w:pPr>
      <w:r>
        <w:rPr>
          <w:rFonts w:ascii="Times New Roman" w:hAnsi="Times New Roman" w:eastAsia="宋体"/>
          <w:color w:val="auto"/>
          <w:szCs w:val="24"/>
        </w:rPr>
        <w:t>沪深两市</w:t>
      </w:r>
      <w:r>
        <w:rPr>
          <w:rFonts w:hint="eastAsia" w:ascii="Times New Roman" w:hAnsi="Times New Roman" w:eastAsia="宋体"/>
          <w:color w:val="auto"/>
          <w:szCs w:val="24"/>
          <w:lang w:eastAsia="zh-Hans"/>
        </w:rPr>
        <w:t>和北交所</w:t>
      </w:r>
      <w:r>
        <w:rPr>
          <w:rFonts w:ascii="Times New Roman" w:hAnsi="Times New Roman" w:eastAsia="宋体"/>
          <w:color w:val="auto"/>
          <w:szCs w:val="24"/>
        </w:rPr>
        <w:t xml:space="preserve">上市公司数据信息统计            </w:t>
      </w:r>
      <w:r>
        <w:rPr>
          <w:rFonts w:hint="eastAsia" w:ascii="Times New Roman" w:hAnsi="Times New Roman" w:eastAsia="宋体"/>
          <w:color w:val="auto"/>
          <w:szCs w:val="24"/>
        </w:rPr>
        <w:t>截至20</w:t>
      </w:r>
      <w:r>
        <w:rPr>
          <w:rFonts w:ascii="Times New Roman" w:hAnsi="Times New Roman" w:eastAsia="宋体"/>
          <w:color w:val="auto"/>
          <w:szCs w:val="24"/>
        </w:rPr>
        <w:t>2</w:t>
      </w:r>
      <w:r>
        <w:rPr>
          <w:rFonts w:hint="eastAsia" w:ascii="Times New Roman" w:hAnsi="Times New Roman" w:eastAsia="宋体"/>
          <w:color w:val="auto"/>
          <w:szCs w:val="24"/>
          <w:lang w:val="en-US" w:eastAsia="zh-CN"/>
        </w:rPr>
        <w:t>6</w:t>
      </w:r>
      <w:r>
        <w:rPr>
          <w:rFonts w:hint="eastAsia" w:ascii="Times New Roman" w:hAnsi="Times New Roman" w:eastAsia="宋体"/>
          <w:color w:val="auto"/>
          <w:szCs w:val="24"/>
        </w:rPr>
        <w:t>年</w:t>
      </w:r>
      <w:r>
        <w:rPr>
          <w:rFonts w:hint="eastAsia" w:ascii="Times New Roman" w:hAnsi="Times New Roman" w:eastAsia="宋体"/>
          <w:color w:val="auto"/>
          <w:szCs w:val="24"/>
          <w:lang w:val="en-US" w:eastAsia="zh-CN"/>
        </w:rPr>
        <w:t>4</w:t>
      </w:r>
      <w:r>
        <w:rPr>
          <w:rFonts w:ascii="Times New Roman" w:hAnsi="Times New Roman" w:eastAsia="宋体"/>
          <w:color w:val="auto"/>
          <w:szCs w:val="24"/>
        </w:rPr>
        <w:t>月</w:t>
      </w:r>
      <w:r>
        <w:rPr>
          <w:rFonts w:hint="eastAsia" w:ascii="Times New Roman" w:hAnsi="Times New Roman" w:eastAsia="宋体"/>
          <w:color w:val="auto"/>
          <w:szCs w:val="24"/>
          <w:lang w:val="en-US" w:eastAsia="zh-CN"/>
        </w:rPr>
        <w:t>30</w:t>
      </w:r>
      <w:r>
        <w:rPr>
          <w:rFonts w:ascii="Times New Roman" w:hAnsi="Times New Roman" w:eastAsia="宋体"/>
          <w:color w:val="auto"/>
          <w:szCs w:val="24"/>
        </w:rPr>
        <w:t>日</w:t>
      </w:r>
    </w:p>
    <w:tbl>
      <w:tblPr>
        <w:tblStyle w:val="7"/>
        <w:tblW w:w="91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59"/>
        <w:gridCol w:w="1400"/>
        <w:gridCol w:w="1462"/>
        <w:gridCol w:w="1324"/>
        <w:gridCol w:w="1380"/>
        <w:gridCol w:w="1380"/>
      </w:tblGrid>
      <w:tr w14:paraId="6CAED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jc w:val="center"/>
        </w:trPr>
        <w:tc>
          <w:tcPr>
            <w:tcW w:w="2159" w:type="dxa"/>
            <w:shd w:val="clear" w:color="auto" w:fill="BEBEBE"/>
            <w:noWrap w:val="0"/>
            <w:vAlign w:val="top"/>
          </w:tcPr>
          <w:p w14:paraId="3B42E433">
            <w:pPr>
              <w:rPr>
                <w:rFonts w:ascii="Times New Roman" w:hAnsi="Times New Roman" w:eastAsia="宋体"/>
                <w:b/>
                <w:bCs/>
                <w:color w:val="auto"/>
                <w:szCs w:val="24"/>
              </w:rPr>
            </w:pPr>
          </w:p>
        </w:tc>
        <w:tc>
          <w:tcPr>
            <w:tcW w:w="1400" w:type="dxa"/>
            <w:shd w:val="clear" w:color="auto" w:fill="BEBEBE"/>
            <w:noWrap w:val="0"/>
            <w:vAlign w:val="center"/>
          </w:tcPr>
          <w:p w14:paraId="3347DEE5">
            <w:pPr>
              <w:jc w:val="center"/>
              <w:rPr>
                <w:rFonts w:ascii="Times New Roman" w:hAnsi="Times New Roman" w:eastAsia="宋体"/>
                <w:b/>
                <w:bCs/>
                <w:color w:val="auto"/>
                <w:szCs w:val="24"/>
              </w:rPr>
            </w:pPr>
            <w:r>
              <w:rPr>
                <w:rFonts w:ascii="Times New Roman" w:hAnsi="Times New Roman" w:eastAsia="宋体"/>
                <w:b/>
                <w:bCs/>
                <w:color w:val="auto"/>
                <w:szCs w:val="24"/>
              </w:rPr>
              <w:t>沪市主板</w:t>
            </w:r>
          </w:p>
        </w:tc>
        <w:tc>
          <w:tcPr>
            <w:tcW w:w="1462" w:type="dxa"/>
            <w:shd w:val="clear" w:color="auto" w:fill="C0C0C0"/>
            <w:noWrap w:val="0"/>
            <w:vAlign w:val="center"/>
          </w:tcPr>
          <w:p w14:paraId="5EA1D790">
            <w:pPr>
              <w:jc w:val="center"/>
              <w:rPr>
                <w:rFonts w:ascii="Times New Roman" w:hAnsi="Times New Roman" w:eastAsia="宋体"/>
                <w:b/>
                <w:bCs/>
                <w:color w:val="auto"/>
                <w:szCs w:val="24"/>
              </w:rPr>
            </w:pPr>
            <w:r>
              <w:rPr>
                <w:rFonts w:ascii="Times New Roman" w:hAnsi="Times New Roman" w:eastAsia="宋体"/>
                <w:b/>
                <w:bCs/>
                <w:color w:val="auto"/>
                <w:szCs w:val="24"/>
              </w:rPr>
              <w:t>深市主板</w:t>
            </w:r>
          </w:p>
        </w:tc>
        <w:tc>
          <w:tcPr>
            <w:tcW w:w="1324" w:type="dxa"/>
            <w:shd w:val="clear" w:color="auto" w:fill="C0C0C0"/>
            <w:noWrap w:val="0"/>
            <w:vAlign w:val="center"/>
          </w:tcPr>
          <w:p w14:paraId="787E7E86">
            <w:pPr>
              <w:jc w:val="center"/>
              <w:rPr>
                <w:rFonts w:ascii="Times New Roman" w:hAnsi="Times New Roman" w:eastAsia="宋体"/>
                <w:b/>
                <w:bCs/>
                <w:color w:val="auto"/>
                <w:szCs w:val="24"/>
              </w:rPr>
            </w:pPr>
            <w:r>
              <w:rPr>
                <w:rFonts w:ascii="Times New Roman" w:hAnsi="Times New Roman" w:eastAsia="宋体"/>
                <w:b/>
                <w:bCs/>
                <w:color w:val="auto"/>
                <w:szCs w:val="24"/>
              </w:rPr>
              <w:t>创业板</w:t>
            </w:r>
          </w:p>
        </w:tc>
        <w:tc>
          <w:tcPr>
            <w:tcW w:w="1380" w:type="dxa"/>
            <w:shd w:val="clear" w:color="auto" w:fill="C0C0C0"/>
            <w:noWrap w:val="0"/>
            <w:vAlign w:val="center"/>
          </w:tcPr>
          <w:p w14:paraId="0ED0D6A5">
            <w:pPr>
              <w:jc w:val="center"/>
              <w:rPr>
                <w:rFonts w:ascii="Times New Roman" w:hAnsi="Times New Roman" w:eastAsia="宋体"/>
                <w:b/>
                <w:bCs/>
                <w:color w:val="auto"/>
                <w:szCs w:val="24"/>
              </w:rPr>
            </w:pPr>
            <w:r>
              <w:rPr>
                <w:rFonts w:hint="eastAsia" w:ascii="Times New Roman" w:hAnsi="Times New Roman" w:eastAsia="宋体"/>
                <w:b/>
                <w:bCs/>
                <w:color w:val="auto"/>
                <w:szCs w:val="24"/>
              </w:rPr>
              <w:t>科创板</w:t>
            </w:r>
          </w:p>
        </w:tc>
        <w:tc>
          <w:tcPr>
            <w:tcW w:w="1380" w:type="dxa"/>
            <w:shd w:val="clear" w:color="auto" w:fill="C0C0C0"/>
            <w:noWrap w:val="0"/>
            <w:vAlign w:val="center"/>
          </w:tcPr>
          <w:p w14:paraId="1B5BA9F1">
            <w:pPr>
              <w:jc w:val="center"/>
              <w:rPr>
                <w:rFonts w:ascii="Times New Roman" w:hAnsi="Times New Roman" w:eastAsia="宋体"/>
                <w:b/>
                <w:bCs/>
                <w:color w:val="auto"/>
                <w:szCs w:val="24"/>
                <w:lang w:eastAsia="zh-Hans"/>
              </w:rPr>
            </w:pPr>
            <w:r>
              <w:rPr>
                <w:rFonts w:hint="eastAsia" w:ascii="Times New Roman" w:hAnsi="Times New Roman" w:eastAsia="宋体"/>
                <w:b/>
                <w:bCs/>
                <w:color w:val="auto"/>
                <w:szCs w:val="24"/>
                <w:lang w:eastAsia="zh-Hans"/>
              </w:rPr>
              <w:t>北交所</w:t>
            </w:r>
          </w:p>
        </w:tc>
      </w:tr>
      <w:tr w14:paraId="38676B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2159" w:type="dxa"/>
            <w:noWrap w:val="0"/>
            <w:vAlign w:val="center"/>
          </w:tcPr>
          <w:p w14:paraId="13FBC7E7">
            <w:pPr>
              <w:jc w:val="center"/>
              <w:rPr>
                <w:rFonts w:ascii="Times New Roman" w:hAnsi="Times New Roman" w:eastAsia="宋体"/>
                <w:color w:val="auto"/>
                <w:szCs w:val="24"/>
              </w:rPr>
            </w:pPr>
            <w:r>
              <w:rPr>
                <w:rFonts w:ascii="Times New Roman" w:hAnsi="Times New Roman" w:eastAsia="宋体"/>
                <w:color w:val="auto"/>
                <w:szCs w:val="24"/>
              </w:rPr>
              <w:t>上市公司（家数）</w:t>
            </w:r>
          </w:p>
        </w:tc>
        <w:tc>
          <w:tcPr>
            <w:tcW w:w="1400" w:type="dxa"/>
            <w:noWrap w:val="0"/>
            <w:vAlign w:val="center"/>
          </w:tcPr>
          <w:p w14:paraId="408A7CDE">
            <w:pPr>
              <w:jc w:val="right"/>
              <w:rPr>
                <w:rFonts w:hint="default" w:ascii="Times New Roman" w:hAnsi="Times New Roman" w:eastAsia="宋体"/>
                <w:color w:val="auto"/>
                <w:szCs w:val="24"/>
                <w:lang w:val="en-US" w:eastAsia="zh-CN"/>
              </w:rPr>
            </w:pPr>
            <w:r>
              <w:rPr>
                <w:rFonts w:hint="eastAsia" w:ascii="Times New Roman" w:hAnsi="Times New Roman" w:eastAsia="宋体"/>
                <w:color w:val="auto"/>
                <w:szCs w:val="24"/>
                <w:lang w:val="en-US" w:eastAsia="zh-CN"/>
              </w:rPr>
              <w:t>1</w:t>
            </w:r>
            <w:r>
              <w:rPr>
                <w:rFonts w:hint="default" w:ascii="Times New Roman" w:hAnsi="Times New Roman" w:eastAsia="宋体"/>
                <w:color w:val="auto"/>
                <w:szCs w:val="24"/>
                <w:lang w:val="en-US" w:eastAsia="zh-CN"/>
              </w:rPr>
              <w:t>,</w:t>
            </w:r>
            <w:r>
              <w:rPr>
                <w:rFonts w:hint="eastAsia" w:ascii="Times New Roman" w:hAnsi="Times New Roman" w:eastAsia="宋体"/>
                <w:color w:val="auto"/>
                <w:szCs w:val="24"/>
                <w:lang w:val="en-US" w:eastAsia="zh-CN"/>
              </w:rPr>
              <w:t>706</w:t>
            </w:r>
          </w:p>
        </w:tc>
        <w:tc>
          <w:tcPr>
            <w:tcW w:w="1462" w:type="dxa"/>
            <w:noWrap w:val="0"/>
            <w:vAlign w:val="center"/>
          </w:tcPr>
          <w:p w14:paraId="6F16A9C6">
            <w:pPr>
              <w:jc w:val="right"/>
              <w:rPr>
                <w:rFonts w:hint="default" w:ascii="Times New Roman" w:hAnsi="Times New Roman" w:eastAsia="宋体"/>
                <w:color w:val="auto"/>
                <w:szCs w:val="24"/>
                <w:lang w:val="en-US" w:eastAsia="zh-CN"/>
              </w:rPr>
            </w:pPr>
            <w:r>
              <w:rPr>
                <w:rFonts w:hint="default" w:ascii="Times New Roman" w:hAnsi="Times New Roman" w:eastAsia="宋体"/>
                <w:color w:val="auto"/>
                <w:szCs w:val="24"/>
                <w:lang w:val="en-US" w:eastAsia="zh-CN"/>
              </w:rPr>
              <w:t>1,49</w:t>
            </w:r>
            <w:r>
              <w:rPr>
                <w:rFonts w:hint="eastAsia" w:ascii="Times New Roman" w:hAnsi="Times New Roman" w:eastAsia="宋体"/>
                <w:color w:val="auto"/>
                <w:szCs w:val="24"/>
                <w:lang w:val="en-US" w:eastAsia="zh-CN"/>
              </w:rPr>
              <w:t>6</w:t>
            </w:r>
          </w:p>
        </w:tc>
        <w:tc>
          <w:tcPr>
            <w:tcW w:w="1324" w:type="dxa"/>
            <w:noWrap w:val="0"/>
            <w:vAlign w:val="center"/>
          </w:tcPr>
          <w:p w14:paraId="7A830CD1">
            <w:pPr>
              <w:jc w:val="right"/>
              <w:rPr>
                <w:rFonts w:hint="default" w:ascii="Times New Roman" w:hAnsi="Times New Roman" w:eastAsia="宋体"/>
                <w:color w:val="auto"/>
                <w:szCs w:val="24"/>
                <w:lang w:val="en-US" w:eastAsia="zh-CN"/>
              </w:rPr>
            </w:pPr>
            <w:r>
              <w:rPr>
                <w:rFonts w:hint="default" w:ascii="Times New Roman" w:hAnsi="Times New Roman" w:eastAsia="宋体"/>
                <w:color w:val="auto"/>
                <w:szCs w:val="24"/>
                <w:lang w:val="en-US" w:eastAsia="zh-CN"/>
              </w:rPr>
              <w:t>1,3</w:t>
            </w:r>
            <w:r>
              <w:rPr>
                <w:rFonts w:hint="eastAsia" w:ascii="Times New Roman" w:hAnsi="Times New Roman" w:eastAsia="宋体"/>
                <w:color w:val="auto"/>
                <w:szCs w:val="24"/>
                <w:lang w:val="en-US" w:eastAsia="zh-CN"/>
              </w:rPr>
              <w:t>97</w:t>
            </w:r>
          </w:p>
        </w:tc>
        <w:tc>
          <w:tcPr>
            <w:tcW w:w="1380" w:type="dxa"/>
            <w:noWrap w:val="0"/>
            <w:vAlign w:val="center"/>
          </w:tcPr>
          <w:p w14:paraId="65FCD8C9">
            <w:pPr>
              <w:jc w:val="right"/>
              <w:rPr>
                <w:rFonts w:hint="default" w:ascii="Times New Roman" w:hAnsi="Times New Roman" w:eastAsia="宋体"/>
                <w:color w:val="auto"/>
                <w:szCs w:val="24"/>
                <w:lang w:val="en-US" w:eastAsia="zh-CN"/>
              </w:rPr>
            </w:pPr>
            <w:r>
              <w:rPr>
                <w:rFonts w:hint="eastAsia" w:ascii="Times New Roman" w:hAnsi="Times New Roman" w:eastAsia="宋体"/>
                <w:color w:val="auto"/>
                <w:szCs w:val="24"/>
                <w:lang w:val="en-US" w:eastAsia="zh-CN"/>
              </w:rPr>
              <w:t>609</w:t>
            </w:r>
          </w:p>
        </w:tc>
        <w:tc>
          <w:tcPr>
            <w:tcW w:w="1380" w:type="dxa"/>
            <w:noWrap w:val="0"/>
            <w:vAlign w:val="center"/>
          </w:tcPr>
          <w:p w14:paraId="5480C3D1">
            <w:pPr>
              <w:jc w:val="right"/>
              <w:rPr>
                <w:rFonts w:hint="default" w:ascii="Times New Roman" w:hAnsi="Times New Roman" w:eastAsia="宋体"/>
                <w:color w:val="auto"/>
                <w:szCs w:val="24"/>
                <w:lang w:val="en-US" w:eastAsia="zh-CN"/>
              </w:rPr>
            </w:pPr>
            <w:r>
              <w:rPr>
                <w:rFonts w:hint="eastAsia" w:ascii="Times New Roman" w:hAnsi="Times New Roman" w:eastAsia="宋体"/>
                <w:color w:val="auto"/>
                <w:szCs w:val="24"/>
                <w:lang w:val="en-US" w:eastAsia="zh-CN"/>
              </w:rPr>
              <w:t>311</w:t>
            </w:r>
          </w:p>
        </w:tc>
      </w:tr>
      <w:tr w14:paraId="0BCF04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2159" w:type="dxa"/>
            <w:noWrap w:val="0"/>
            <w:vAlign w:val="center"/>
          </w:tcPr>
          <w:p w14:paraId="28849789">
            <w:pPr>
              <w:rPr>
                <w:rFonts w:ascii="Times New Roman" w:hAnsi="Times New Roman" w:eastAsia="宋体"/>
                <w:color w:val="auto"/>
                <w:szCs w:val="24"/>
              </w:rPr>
            </w:pPr>
            <w:r>
              <w:rPr>
                <w:rFonts w:ascii="Times New Roman" w:hAnsi="Times New Roman" w:eastAsia="宋体"/>
                <w:color w:val="auto"/>
                <w:szCs w:val="24"/>
              </w:rPr>
              <w:t>总发行股本（亿股）</w:t>
            </w:r>
          </w:p>
        </w:tc>
        <w:tc>
          <w:tcPr>
            <w:tcW w:w="1400" w:type="dxa"/>
            <w:noWrap w:val="0"/>
            <w:vAlign w:val="center"/>
          </w:tcPr>
          <w:p w14:paraId="6FB84850">
            <w:pPr>
              <w:jc w:val="right"/>
              <w:rPr>
                <w:rFonts w:hint="default" w:ascii="Times New Roman" w:hAnsi="Times New Roman" w:eastAsia="宋体"/>
                <w:color w:val="auto"/>
                <w:szCs w:val="24"/>
                <w:lang w:val="en-US" w:eastAsia="zh-CN"/>
              </w:rPr>
            </w:pPr>
            <w:r>
              <w:rPr>
                <w:rFonts w:hint="eastAsia" w:ascii="Times New Roman" w:hAnsi="Times New Roman" w:eastAsia="宋体"/>
                <w:color w:val="auto"/>
                <w:szCs w:val="24"/>
                <w:highlight w:val="none"/>
              </w:rPr>
              <w:t>48</w:t>
            </w:r>
            <w:r>
              <w:rPr>
                <w:rFonts w:hint="eastAsia" w:ascii="Times New Roman" w:hAnsi="Times New Roman" w:eastAsia="宋体"/>
                <w:color w:val="auto"/>
                <w:szCs w:val="24"/>
                <w:highlight w:val="none"/>
                <w:lang w:val="en-US" w:eastAsia="zh-CN"/>
              </w:rPr>
              <w:t>,424</w:t>
            </w:r>
            <w:r>
              <w:rPr>
                <w:rFonts w:hint="eastAsia" w:ascii="Times New Roman" w:hAnsi="Times New Roman" w:eastAsia="宋体"/>
                <w:color w:val="auto"/>
                <w:szCs w:val="24"/>
                <w:highlight w:val="none"/>
              </w:rPr>
              <w:t>.</w:t>
            </w:r>
            <w:r>
              <w:rPr>
                <w:rFonts w:hint="eastAsia" w:ascii="Times New Roman" w:hAnsi="Times New Roman" w:eastAsia="宋体"/>
                <w:color w:val="auto"/>
                <w:szCs w:val="24"/>
                <w:highlight w:val="none"/>
                <w:lang w:val="en-US" w:eastAsia="zh-CN"/>
              </w:rPr>
              <w:t>23</w:t>
            </w:r>
          </w:p>
        </w:tc>
        <w:tc>
          <w:tcPr>
            <w:tcW w:w="1462" w:type="dxa"/>
            <w:noWrap w:val="0"/>
            <w:vAlign w:val="center"/>
          </w:tcPr>
          <w:p w14:paraId="3028B4FF">
            <w:pPr>
              <w:jc w:val="right"/>
              <w:rPr>
                <w:rFonts w:hint="eastAsia" w:ascii="Times New Roman" w:hAnsi="Times New Roman" w:eastAsia="宋体"/>
                <w:color w:val="auto"/>
                <w:szCs w:val="24"/>
                <w:lang w:val="en-US" w:eastAsia="zh-CN"/>
              </w:rPr>
            </w:pPr>
            <w:r>
              <w:rPr>
                <w:rFonts w:hint="eastAsia" w:ascii="Times New Roman" w:hAnsi="Times New Roman" w:eastAsia="宋体"/>
                <w:color w:val="auto"/>
                <w:szCs w:val="24"/>
              </w:rPr>
              <w:t>20,</w:t>
            </w:r>
            <w:r>
              <w:rPr>
                <w:rFonts w:hint="eastAsia" w:ascii="Times New Roman" w:hAnsi="Times New Roman" w:eastAsia="宋体"/>
                <w:color w:val="auto"/>
                <w:szCs w:val="24"/>
                <w:lang w:val="en-US" w:eastAsia="zh-CN"/>
              </w:rPr>
              <w:t>61</w:t>
            </w:r>
            <w:r>
              <w:rPr>
                <w:rFonts w:hint="eastAsia" w:ascii="Times New Roman" w:hAnsi="Times New Roman" w:eastAsia="宋体"/>
                <w:color w:val="auto"/>
                <w:szCs w:val="24"/>
              </w:rPr>
              <w:t>7.7</w:t>
            </w:r>
            <w:r>
              <w:rPr>
                <w:rFonts w:hint="eastAsia" w:ascii="Times New Roman" w:hAnsi="Times New Roman" w:eastAsia="宋体"/>
                <w:color w:val="auto"/>
                <w:szCs w:val="24"/>
                <w:lang w:val="en-US" w:eastAsia="zh-CN"/>
              </w:rPr>
              <w:t>3</w:t>
            </w:r>
          </w:p>
        </w:tc>
        <w:tc>
          <w:tcPr>
            <w:tcW w:w="1324" w:type="dxa"/>
            <w:noWrap w:val="0"/>
            <w:vAlign w:val="center"/>
          </w:tcPr>
          <w:p w14:paraId="13FB4709">
            <w:pPr>
              <w:jc w:val="right"/>
              <w:rPr>
                <w:rFonts w:ascii="Times New Roman" w:hAnsi="Times New Roman" w:eastAsia="宋体"/>
                <w:color w:val="auto"/>
                <w:szCs w:val="24"/>
              </w:rPr>
            </w:pPr>
            <w:r>
              <w:rPr>
                <w:rFonts w:hint="eastAsia" w:ascii="Times New Roman" w:hAnsi="Times New Roman" w:eastAsia="宋体"/>
                <w:color w:val="auto"/>
                <w:szCs w:val="24"/>
              </w:rPr>
              <w:t>6,</w:t>
            </w:r>
            <w:r>
              <w:rPr>
                <w:rFonts w:hint="eastAsia" w:ascii="Times New Roman" w:hAnsi="Times New Roman" w:eastAsia="宋体"/>
                <w:color w:val="auto"/>
                <w:szCs w:val="24"/>
                <w:lang w:val="en-US" w:eastAsia="zh-CN"/>
              </w:rPr>
              <w:t>651</w:t>
            </w:r>
            <w:r>
              <w:rPr>
                <w:rFonts w:hint="eastAsia" w:ascii="Times New Roman" w:hAnsi="Times New Roman" w:eastAsia="宋体"/>
                <w:color w:val="auto"/>
                <w:szCs w:val="24"/>
              </w:rPr>
              <w:t>.</w:t>
            </w:r>
            <w:r>
              <w:rPr>
                <w:rFonts w:hint="eastAsia" w:ascii="Times New Roman" w:hAnsi="Times New Roman" w:eastAsia="宋体"/>
                <w:color w:val="auto"/>
                <w:szCs w:val="24"/>
                <w:lang w:val="en-US" w:eastAsia="zh-CN"/>
              </w:rPr>
              <w:t>9</w:t>
            </w:r>
            <w:r>
              <w:rPr>
                <w:rFonts w:hint="eastAsia" w:ascii="Times New Roman" w:hAnsi="Times New Roman" w:eastAsia="宋体"/>
                <w:color w:val="auto"/>
                <w:szCs w:val="24"/>
              </w:rPr>
              <w:t>0</w:t>
            </w:r>
          </w:p>
        </w:tc>
        <w:tc>
          <w:tcPr>
            <w:tcW w:w="1380" w:type="dxa"/>
            <w:noWrap w:val="0"/>
            <w:vAlign w:val="center"/>
          </w:tcPr>
          <w:p w14:paraId="1E181EAC">
            <w:pPr>
              <w:jc w:val="right"/>
              <w:rPr>
                <w:rFonts w:hint="default" w:ascii="Times New Roman" w:hAnsi="Times New Roman" w:eastAsia="宋体"/>
                <w:color w:val="auto"/>
                <w:szCs w:val="24"/>
                <w:lang w:val="en-US" w:eastAsia="zh-CN"/>
              </w:rPr>
            </w:pPr>
            <w:r>
              <w:rPr>
                <w:rFonts w:hint="eastAsia" w:ascii="Times New Roman" w:hAnsi="Times New Roman" w:eastAsia="宋体"/>
                <w:color w:val="auto"/>
                <w:szCs w:val="24"/>
              </w:rPr>
              <w:t>2</w:t>
            </w:r>
            <w:r>
              <w:rPr>
                <w:rFonts w:hint="default" w:ascii="Times New Roman" w:hAnsi="Times New Roman" w:eastAsia="宋体"/>
                <w:color w:val="auto"/>
                <w:szCs w:val="24"/>
                <w:lang w:val="en-US" w:eastAsia="zh-CN"/>
              </w:rPr>
              <w:t>,</w:t>
            </w:r>
            <w:r>
              <w:rPr>
                <w:rFonts w:hint="eastAsia" w:ascii="Times New Roman" w:hAnsi="Times New Roman" w:eastAsia="宋体"/>
                <w:color w:val="auto"/>
                <w:szCs w:val="24"/>
                <w:lang w:val="en-US" w:eastAsia="zh-CN"/>
              </w:rPr>
              <w:t>481.61</w:t>
            </w:r>
          </w:p>
        </w:tc>
        <w:tc>
          <w:tcPr>
            <w:tcW w:w="1380" w:type="dxa"/>
            <w:noWrap w:val="0"/>
            <w:vAlign w:val="center"/>
          </w:tcPr>
          <w:p w14:paraId="093DE12E">
            <w:pPr>
              <w:jc w:val="right"/>
              <w:rPr>
                <w:rFonts w:ascii="Times New Roman" w:hAnsi="Times New Roman" w:eastAsia="宋体"/>
                <w:color w:val="auto"/>
                <w:szCs w:val="24"/>
              </w:rPr>
            </w:pPr>
            <w:r>
              <w:rPr>
                <w:rFonts w:hint="eastAsia" w:ascii="Times New Roman" w:hAnsi="Times New Roman" w:eastAsia="宋体"/>
                <w:color w:val="auto"/>
                <w:szCs w:val="24"/>
                <w:lang w:val="en-US" w:eastAsia="zh-CN"/>
              </w:rPr>
              <w:t>420.23</w:t>
            </w:r>
          </w:p>
        </w:tc>
      </w:tr>
      <w:tr w14:paraId="3C75D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2159" w:type="dxa"/>
            <w:noWrap w:val="0"/>
            <w:vAlign w:val="center"/>
          </w:tcPr>
          <w:p w14:paraId="1884A16D">
            <w:pPr>
              <w:rPr>
                <w:rFonts w:ascii="Times New Roman" w:hAnsi="Times New Roman" w:eastAsia="宋体"/>
                <w:color w:val="auto"/>
                <w:szCs w:val="24"/>
              </w:rPr>
            </w:pPr>
            <w:r>
              <w:rPr>
                <w:rFonts w:ascii="Times New Roman" w:hAnsi="Times New Roman" w:eastAsia="宋体"/>
                <w:color w:val="auto"/>
                <w:szCs w:val="24"/>
              </w:rPr>
              <w:t>总流通股本（亿股）</w:t>
            </w:r>
          </w:p>
        </w:tc>
        <w:tc>
          <w:tcPr>
            <w:tcW w:w="1400" w:type="dxa"/>
            <w:noWrap w:val="0"/>
            <w:vAlign w:val="center"/>
          </w:tcPr>
          <w:p w14:paraId="11902891">
            <w:pPr>
              <w:jc w:val="right"/>
              <w:rPr>
                <w:rFonts w:hint="default" w:ascii="Times New Roman" w:hAnsi="Times New Roman" w:eastAsia="宋体"/>
                <w:color w:val="auto"/>
                <w:szCs w:val="24"/>
                <w:lang w:val="en-US"/>
              </w:rPr>
            </w:pPr>
            <w:r>
              <w:rPr>
                <w:rFonts w:hint="default" w:ascii="Times New Roman" w:hAnsi="Times New Roman" w:eastAsia="宋体"/>
                <w:color w:val="auto"/>
                <w:szCs w:val="24"/>
                <w:highlight w:val="none"/>
                <w:lang w:val="en-US" w:eastAsia="zh-CN"/>
              </w:rPr>
              <w:t>4</w:t>
            </w:r>
            <w:r>
              <w:rPr>
                <w:rFonts w:hint="eastAsia" w:ascii="Times New Roman" w:hAnsi="Times New Roman" w:eastAsia="宋体"/>
                <w:color w:val="auto"/>
                <w:szCs w:val="24"/>
                <w:highlight w:val="none"/>
                <w:lang w:val="en-US" w:eastAsia="zh-CN"/>
              </w:rPr>
              <w:t>6,191</w:t>
            </w:r>
            <w:r>
              <w:rPr>
                <w:rFonts w:hint="default" w:ascii="Times New Roman" w:hAnsi="Times New Roman" w:eastAsia="宋体"/>
                <w:color w:val="auto"/>
                <w:szCs w:val="24"/>
                <w:highlight w:val="none"/>
                <w:lang w:val="en-US" w:eastAsia="zh-CN"/>
              </w:rPr>
              <w:t>.</w:t>
            </w:r>
            <w:r>
              <w:rPr>
                <w:rFonts w:hint="eastAsia" w:ascii="Times New Roman" w:hAnsi="Times New Roman" w:eastAsia="宋体"/>
                <w:color w:val="auto"/>
                <w:szCs w:val="24"/>
                <w:highlight w:val="none"/>
                <w:lang w:val="en-US" w:eastAsia="zh-CN"/>
              </w:rPr>
              <w:t>37</w:t>
            </w:r>
          </w:p>
        </w:tc>
        <w:tc>
          <w:tcPr>
            <w:tcW w:w="1462" w:type="dxa"/>
            <w:noWrap w:val="0"/>
            <w:vAlign w:val="center"/>
          </w:tcPr>
          <w:p w14:paraId="50578F45">
            <w:pPr>
              <w:jc w:val="right"/>
              <w:rPr>
                <w:rFonts w:hint="default" w:ascii="Times New Roman" w:hAnsi="Times New Roman" w:eastAsia="宋体"/>
                <w:color w:val="auto"/>
                <w:szCs w:val="24"/>
                <w:lang w:val="en-US" w:eastAsia="zh-CN"/>
              </w:rPr>
            </w:pPr>
            <w:r>
              <w:rPr>
                <w:rFonts w:hint="default" w:ascii="Times New Roman" w:hAnsi="Times New Roman" w:eastAsia="宋体"/>
                <w:color w:val="auto"/>
                <w:szCs w:val="24"/>
                <w:lang w:val="en-US" w:eastAsia="zh-CN"/>
              </w:rPr>
              <w:t>18,</w:t>
            </w:r>
            <w:r>
              <w:rPr>
                <w:rFonts w:hint="eastAsia" w:ascii="Times New Roman" w:hAnsi="Times New Roman" w:eastAsia="宋体"/>
                <w:color w:val="auto"/>
                <w:szCs w:val="24"/>
                <w:lang w:val="en-US" w:eastAsia="zh-CN"/>
              </w:rPr>
              <w:t>77</w:t>
            </w:r>
            <w:r>
              <w:rPr>
                <w:rFonts w:hint="default" w:ascii="Times New Roman" w:hAnsi="Times New Roman" w:eastAsia="宋体"/>
                <w:color w:val="auto"/>
                <w:szCs w:val="24"/>
                <w:lang w:val="en-US" w:eastAsia="zh-CN"/>
              </w:rPr>
              <w:t>9.</w:t>
            </w:r>
            <w:r>
              <w:rPr>
                <w:rFonts w:hint="eastAsia" w:ascii="Times New Roman" w:hAnsi="Times New Roman" w:eastAsia="宋体"/>
                <w:color w:val="auto"/>
                <w:szCs w:val="24"/>
                <w:lang w:val="en-US" w:eastAsia="zh-CN"/>
              </w:rPr>
              <w:t>33</w:t>
            </w:r>
          </w:p>
        </w:tc>
        <w:tc>
          <w:tcPr>
            <w:tcW w:w="1324" w:type="dxa"/>
            <w:noWrap w:val="0"/>
            <w:vAlign w:val="center"/>
          </w:tcPr>
          <w:p w14:paraId="0824CED1">
            <w:pPr>
              <w:jc w:val="right"/>
              <w:rPr>
                <w:rFonts w:hint="default" w:ascii="Times New Roman" w:hAnsi="Times New Roman" w:eastAsia="宋体"/>
                <w:color w:val="auto"/>
                <w:szCs w:val="24"/>
                <w:lang w:val="en-US" w:eastAsia="zh-CN"/>
              </w:rPr>
            </w:pPr>
            <w:r>
              <w:rPr>
                <w:rFonts w:hint="eastAsia" w:ascii="Times New Roman" w:hAnsi="Times New Roman" w:eastAsia="宋体"/>
                <w:color w:val="auto"/>
                <w:szCs w:val="24"/>
              </w:rPr>
              <w:t>5,</w:t>
            </w:r>
            <w:r>
              <w:rPr>
                <w:rFonts w:hint="eastAsia" w:ascii="Times New Roman" w:hAnsi="Times New Roman" w:eastAsia="宋体"/>
                <w:color w:val="auto"/>
                <w:szCs w:val="24"/>
                <w:lang w:val="en-US" w:eastAsia="zh-CN"/>
              </w:rPr>
              <w:t>50</w:t>
            </w:r>
            <w:r>
              <w:rPr>
                <w:rFonts w:hint="eastAsia" w:ascii="Times New Roman" w:hAnsi="Times New Roman" w:eastAsia="宋体"/>
                <w:color w:val="auto"/>
                <w:szCs w:val="24"/>
              </w:rPr>
              <w:t>6.</w:t>
            </w:r>
            <w:r>
              <w:rPr>
                <w:rFonts w:hint="eastAsia" w:ascii="Times New Roman" w:hAnsi="Times New Roman" w:eastAsia="宋体"/>
                <w:color w:val="auto"/>
                <w:szCs w:val="24"/>
                <w:lang w:val="en-US" w:eastAsia="zh-CN"/>
              </w:rPr>
              <w:t>83</w:t>
            </w:r>
          </w:p>
        </w:tc>
        <w:tc>
          <w:tcPr>
            <w:tcW w:w="1380" w:type="dxa"/>
            <w:noWrap w:val="0"/>
            <w:vAlign w:val="center"/>
          </w:tcPr>
          <w:p w14:paraId="789764DB">
            <w:pPr>
              <w:jc w:val="right"/>
              <w:rPr>
                <w:rFonts w:hint="default" w:ascii="Times New Roman" w:hAnsi="Times New Roman" w:eastAsia="宋体"/>
                <w:color w:val="auto"/>
                <w:szCs w:val="24"/>
                <w:lang w:val="en-US"/>
              </w:rPr>
            </w:pPr>
            <w:r>
              <w:rPr>
                <w:rFonts w:hint="eastAsia" w:ascii="Times New Roman" w:hAnsi="Times New Roman" w:eastAsia="宋体"/>
                <w:color w:val="auto"/>
                <w:szCs w:val="24"/>
                <w:lang w:val="en-US" w:eastAsia="zh-CN"/>
              </w:rPr>
              <w:t>2,014</w:t>
            </w:r>
            <w:r>
              <w:rPr>
                <w:rFonts w:hint="default" w:ascii="Times New Roman" w:hAnsi="Times New Roman" w:eastAsia="宋体"/>
                <w:color w:val="auto"/>
                <w:szCs w:val="24"/>
                <w:lang w:val="en-US" w:eastAsia="zh-CN"/>
              </w:rPr>
              <w:t>.</w:t>
            </w:r>
            <w:r>
              <w:rPr>
                <w:rFonts w:hint="eastAsia" w:ascii="Times New Roman" w:hAnsi="Times New Roman" w:eastAsia="宋体"/>
                <w:color w:val="auto"/>
                <w:szCs w:val="24"/>
                <w:lang w:val="en-US" w:eastAsia="zh-CN"/>
              </w:rPr>
              <w:t>76</w:t>
            </w:r>
          </w:p>
        </w:tc>
        <w:tc>
          <w:tcPr>
            <w:tcW w:w="1380" w:type="dxa"/>
            <w:noWrap w:val="0"/>
            <w:vAlign w:val="center"/>
          </w:tcPr>
          <w:p w14:paraId="76A962AF">
            <w:pPr>
              <w:jc w:val="right"/>
              <w:rPr>
                <w:rFonts w:hint="default" w:ascii="Times New Roman" w:hAnsi="Times New Roman" w:eastAsia="宋体"/>
                <w:color w:val="auto"/>
                <w:szCs w:val="24"/>
                <w:lang w:val="en-US" w:eastAsia="zh-CN"/>
              </w:rPr>
            </w:pPr>
            <w:r>
              <w:rPr>
                <w:rFonts w:hint="default" w:ascii="Times New Roman" w:hAnsi="Times New Roman" w:eastAsia="宋体"/>
                <w:color w:val="auto"/>
                <w:szCs w:val="24"/>
                <w:lang w:val="en-US" w:eastAsia="zh-CN"/>
              </w:rPr>
              <w:t>26</w:t>
            </w:r>
            <w:r>
              <w:rPr>
                <w:rFonts w:hint="eastAsia" w:ascii="Times New Roman" w:hAnsi="Times New Roman" w:eastAsia="宋体"/>
                <w:color w:val="auto"/>
                <w:szCs w:val="24"/>
                <w:lang w:val="en-US" w:eastAsia="zh-CN"/>
              </w:rPr>
              <w:t>4</w:t>
            </w:r>
            <w:r>
              <w:rPr>
                <w:rFonts w:hint="default" w:ascii="Times New Roman" w:hAnsi="Times New Roman" w:eastAsia="宋体"/>
                <w:color w:val="auto"/>
                <w:szCs w:val="24"/>
                <w:lang w:val="en-US" w:eastAsia="zh-CN"/>
              </w:rPr>
              <w:t>.</w:t>
            </w:r>
            <w:r>
              <w:rPr>
                <w:rFonts w:hint="eastAsia" w:ascii="Times New Roman" w:hAnsi="Times New Roman" w:eastAsia="宋体"/>
                <w:color w:val="auto"/>
                <w:szCs w:val="24"/>
                <w:lang w:val="en-US" w:eastAsia="zh-CN"/>
              </w:rPr>
              <w:t>38</w:t>
            </w:r>
          </w:p>
        </w:tc>
      </w:tr>
      <w:tr w14:paraId="11D93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2159" w:type="dxa"/>
            <w:noWrap w:val="0"/>
            <w:vAlign w:val="center"/>
          </w:tcPr>
          <w:p w14:paraId="77B3396D">
            <w:pPr>
              <w:jc w:val="left"/>
              <w:rPr>
                <w:rFonts w:ascii="Times New Roman" w:hAnsi="Times New Roman" w:eastAsia="宋体"/>
                <w:color w:val="auto"/>
                <w:szCs w:val="24"/>
              </w:rPr>
            </w:pPr>
            <w:r>
              <w:rPr>
                <w:rFonts w:ascii="Times New Roman" w:hAnsi="Times New Roman" w:eastAsia="宋体"/>
                <w:color w:val="auto"/>
                <w:szCs w:val="24"/>
              </w:rPr>
              <w:t>总市值（亿元）</w:t>
            </w:r>
          </w:p>
        </w:tc>
        <w:tc>
          <w:tcPr>
            <w:tcW w:w="1400" w:type="dxa"/>
            <w:noWrap w:val="0"/>
            <w:vAlign w:val="center"/>
          </w:tcPr>
          <w:p w14:paraId="5AD42DD9">
            <w:pPr>
              <w:jc w:val="right"/>
              <w:rPr>
                <w:rFonts w:hint="default" w:ascii="Times New Roman" w:hAnsi="Times New Roman" w:eastAsia="宋体"/>
                <w:color w:val="auto"/>
                <w:szCs w:val="24"/>
                <w:lang w:val="en-US"/>
              </w:rPr>
            </w:pPr>
            <w:r>
              <w:rPr>
                <w:rFonts w:hint="eastAsia" w:ascii="Times New Roman" w:hAnsi="Times New Roman" w:eastAsia="宋体"/>
                <w:color w:val="auto"/>
                <w:szCs w:val="24"/>
                <w:highlight w:val="none"/>
                <w:lang w:val="en-US" w:eastAsia="zh-CN"/>
              </w:rPr>
              <w:t>553,663</w:t>
            </w:r>
            <w:r>
              <w:rPr>
                <w:rFonts w:hint="default" w:ascii="Times New Roman" w:hAnsi="Times New Roman" w:eastAsia="宋体"/>
                <w:color w:val="auto"/>
                <w:szCs w:val="24"/>
                <w:highlight w:val="none"/>
                <w:lang w:val="en-US" w:eastAsia="zh-CN"/>
              </w:rPr>
              <w:t>.</w:t>
            </w:r>
            <w:r>
              <w:rPr>
                <w:rFonts w:hint="eastAsia" w:ascii="Times New Roman" w:hAnsi="Times New Roman" w:eastAsia="宋体"/>
                <w:color w:val="auto"/>
                <w:szCs w:val="24"/>
                <w:highlight w:val="none"/>
                <w:lang w:val="en-US" w:eastAsia="zh-CN"/>
              </w:rPr>
              <w:t>1</w:t>
            </w:r>
            <w:r>
              <w:rPr>
                <w:rFonts w:hint="default" w:ascii="Times New Roman" w:hAnsi="Times New Roman" w:eastAsia="宋体"/>
                <w:color w:val="auto"/>
                <w:szCs w:val="24"/>
                <w:highlight w:val="none"/>
                <w:lang w:val="en-US" w:eastAsia="zh-CN"/>
              </w:rPr>
              <w:t>5</w:t>
            </w:r>
          </w:p>
        </w:tc>
        <w:tc>
          <w:tcPr>
            <w:tcW w:w="1462" w:type="dxa"/>
            <w:noWrap w:val="0"/>
            <w:vAlign w:val="center"/>
          </w:tcPr>
          <w:p w14:paraId="5D97166A">
            <w:pPr>
              <w:jc w:val="right"/>
              <w:rPr>
                <w:rFonts w:hint="default" w:ascii="Times New Roman" w:hAnsi="Times New Roman" w:eastAsia="宋体"/>
                <w:color w:val="auto"/>
                <w:szCs w:val="24"/>
                <w:lang w:val="en-US" w:eastAsia="zh-CN"/>
              </w:rPr>
            </w:pPr>
            <w:r>
              <w:rPr>
                <w:rFonts w:hint="eastAsia" w:ascii="Times New Roman" w:hAnsi="Times New Roman" w:eastAsia="宋体"/>
                <w:color w:val="auto"/>
                <w:szCs w:val="24"/>
              </w:rPr>
              <w:t>2</w:t>
            </w:r>
            <w:r>
              <w:rPr>
                <w:rFonts w:hint="eastAsia" w:ascii="Times New Roman" w:hAnsi="Times New Roman" w:eastAsia="宋体"/>
                <w:color w:val="auto"/>
                <w:szCs w:val="24"/>
                <w:lang w:val="en-US" w:eastAsia="zh-CN"/>
              </w:rPr>
              <w:t>80</w:t>
            </w:r>
            <w:r>
              <w:rPr>
                <w:rFonts w:hint="eastAsia" w:ascii="Times New Roman" w:hAnsi="Times New Roman" w:eastAsia="宋体"/>
                <w:color w:val="auto"/>
                <w:szCs w:val="24"/>
              </w:rPr>
              <w:t>,</w:t>
            </w:r>
            <w:r>
              <w:rPr>
                <w:rFonts w:hint="eastAsia" w:ascii="Times New Roman" w:hAnsi="Times New Roman" w:eastAsia="宋体"/>
                <w:color w:val="auto"/>
                <w:szCs w:val="24"/>
                <w:lang w:val="en-US" w:eastAsia="zh-CN"/>
              </w:rPr>
              <w:t>888</w:t>
            </w:r>
            <w:r>
              <w:rPr>
                <w:rFonts w:hint="eastAsia" w:ascii="Times New Roman" w:hAnsi="Times New Roman" w:eastAsia="宋体"/>
                <w:color w:val="auto"/>
                <w:szCs w:val="24"/>
              </w:rPr>
              <w:t>.</w:t>
            </w:r>
            <w:r>
              <w:rPr>
                <w:rFonts w:hint="eastAsia" w:ascii="Times New Roman" w:hAnsi="Times New Roman" w:eastAsia="宋体"/>
                <w:color w:val="auto"/>
                <w:szCs w:val="24"/>
                <w:lang w:val="en-US" w:eastAsia="zh-CN"/>
              </w:rPr>
              <w:t>02</w:t>
            </w:r>
          </w:p>
        </w:tc>
        <w:tc>
          <w:tcPr>
            <w:tcW w:w="1324" w:type="dxa"/>
            <w:noWrap w:val="0"/>
            <w:vAlign w:val="center"/>
          </w:tcPr>
          <w:p w14:paraId="1F43BB4A">
            <w:pPr>
              <w:jc w:val="right"/>
              <w:rPr>
                <w:rFonts w:hint="default" w:ascii="Times New Roman" w:hAnsi="Times New Roman" w:eastAsia="宋体"/>
                <w:color w:val="auto"/>
                <w:szCs w:val="24"/>
                <w:lang w:val="en-US" w:eastAsia="zh-CN"/>
              </w:rPr>
            </w:pPr>
            <w:r>
              <w:rPr>
                <w:rFonts w:hint="eastAsia" w:ascii="Times New Roman" w:hAnsi="Times New Roman" w:eastAsia="宋体"/>
                <w:color w:val="auto"/>
                <w:szCs w:val="24"/>
                <w:lang w:val="en-US" w:eastAsia="zh-CN"/>
              </w:rPr>
              <w:t>201</w:t>
            </w:r>
            <w:r>
              <w:rPr>
                <w:rFonts w:hint="eastAsia" w:ascii="Times New Roman" w:hAnsi="Times New Roman" w:eastAsia="宋体"/>
                <w:color w:val="auto"/>
                <w:szCs w:val="24"/>
              </w:rPr>
              <w:t>,</w:t>
            </w:r>
            <w:r>
              <w:rPr>
                <w:rFonts w:hint="eastAsia" w:ascii="Times New Roman" w:hAnsi="Times New Roman" w:eastAsia="宋体"/>
                <w:color w:val="auto"/>
                <w:szCs w:val="24"/>
                <w:lang w:val="en-US" w:eastAsia="zh-CN"/>
              </w:rPr>
              <w:t>212</w:t>
            </w:r>
            <w:r>
              <w:rPr>
                <w:rFonts w:hint="eastAsia" w:ascii="Times New Roman" w:hAnsi="Times New Roman" w:eastAsia="宋体"/>
                <w:color w:val="auto"/>
                <w:szCs w:val="24"/>
              </w:rPr>
              <w:t>.</w:t>
            </w:r>
            <w:r>
              <w:rPr>
                <w:rFonts w:hint="eastAsia" w:ascii="Times New Roman" w:hAnsi="Times New Roman" w:eastAsia="宋体"/>
                <w:color w:val="auto"/>
                <w:szCs w:val="24"/>
                <w:lang w:val="en-US" w:eastAsia="zh-CN"/>
              </w:rPr>
              <w:t>56</w:t>
            </w:r>
          </w:p>
        </w:tc>
        <w:tc>
          <w:tcPr>
            <w:tcW w:w="1380" w:type="dxa"/>
            <w:noWrap w:val="0"/>
            <w:vAlign w:val="center"/>
          </w:tcPr>
          <w:p w14:paraId="6343F224">
            <w:pPr>
              <w:jc w:val="right"/>
              <w:rPr>
                <w:rFonts w:hint="default" w:ascii="Times New Roman" w:hAnsi="Times New Roman" w:eastAsia="宋体"/>
                <w:color w:val="auto"/>
                <w:szCs w:val="24"/>
                <w:lang w:val="en-US"/>
              </w:rPr>
            </w:pPr>
            <w:r>
              <w:rPr>
                <w:rFonts w:hint="eastAsia" w:ascii="Times New Roman" w:hAnsi="Times New Roman" w:eastAsia="宋体"/>
                <w:color w:val="auto"/>
                <w:szCs w:val="24"/>
                <w:lang w:val="en-US" w:eastAsia="zh-CN"/>
              </w:rPr>
              <w:t>127,648</w:t>
            </w:r>
            <w:r>
              <w:rPr>
                <w:rFonts w:hint="default" w:ascii="Times New Roman" w:hAnsi="Times New Roman" w:eastAsia="宋体"/>
                <w:color w:val="auto"/>
                <w:szCs w:val="24"/>
                <w:lang w:val="en-US" w:eastAsia="zh-CN"/>
              </w:rPr>
              <w:t>.</w:t>
            </w:r>
            <w:r>
              <w:rPr>
                <w:rFonts w:hint="eastAsia" w:ascii="Times New Roman" w:hAnsi="Times New Roman" w:eastAsia="宋体"/>
                <w:color w:val="auto"/>
                <w:szCs w:val="24"/>
                <w:lang w:val="en-US" w:eastAsia="zh-CN"/>
              </w:rPr>
              <w:t>32</w:t>
            </w:r>
          </w:p>
        </w:tc>
        <w:tc>
          <w:tcPr>
            <w:tcW w:w="1380" w:type="dxa"/>
            <w:noWrap w:val="0"/>
            <w:vAlign w:val="center"/>
          </w:tcPr>
          <w:p w14:paraId="63A14F9A">
            <w:pPr>
              <w:jc w:val="right"/>
              <w:rPr>
                <w:rFonts w:hint="eastAsia" w:ascii="Times New Roman" w:hAnsi="Times New Roman" w:eastAsia="宋体"/>
                <w:color w:val="auto"/>
                <w:szCs w:val="24"/>
                <w:lang w:val="en-US" w:eastAsia="zh-CN"/>
              </w:rPr>
            </w:pPr>
            <w:r>
              <w:rPr>
                <w:rFonts w:hint="eastAsia" w:ascii="Times New Roman" w:hAnsi="Times New Roman" w:eastAsia="宋体"/>
                <w:color w:val="auto"/>
                <w:szCs w:val="24"/>
                <w:lang w:val="en-US" w:eastAsia="zh-CN"/>
              </w:rPr>
              <w:t>8,</w:t>
            </w:r>
            <w:r>
              <w:rPr>
                <w:rFonts w:hint="eastAsia" w:ascii="Times New Roman" w:hAnsi="Times New Roman" w:eastAsia="宋体"/>
                <w:color w:val="auto"/>
                <w:szCs w:val="24"/>
              </w:rPr>
              <w:t>7</w:t>
            </w:r>
            <w:r>
              <w:rPr>
                <w:rFonts w:hint="eastAsia" w:ascii="Times New Roman" w:hAnsi="Times New Roman" w:eastAsia="宋体"/>
                <w:color w:val="auto"/>
                <w:szCs w:val="24"/>
                <w:lang w:val="en-US" w:eastAsia="zh-CN"/>
              </w:rPr>
              <w:t>82</w:t>
            </w:r>
            <w:r>
              <w:rPr>
                <w:rFonts w:hint="eastAsia" w:ascii="Times New Roman" w:hAnsi="Times New Roman" w:eastAsia="宋体"/>
                <w:color w:val="auto"/>
                <w:szCs w:val="24"/>
              </w:rPr>
              <w:t>.2</w:t>
            </w:r>
            <w:r>
              <w:rPr>
                <w:rFonts w:hint="eastAsia" w:ascii="Times New Roman" w:hAnsi="Times New Roman" w:eastAsia="宋体"/>
                <w:color w:val="auto"/>
                <w:szCs w:val="24"/>
                <w:lang w:val="en-US" w:eastAsia="zh-CN"/>
              </w:rPr>
              <w:t>3</w:t>
            </w:r>
          </w:p>
        </w:tc>
      </w:tr>
      <w:tr w14:paraId="32471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2159" w:type="dxa"/>
            <w:noWrap w:val="0"/>
            <w:vAlign w:val="center"/>
          </w:tcPr>
          <w:p w14:paraId="378C5580">
            <w:pPr>
              <w:jc w:val="left"/>
              <w:rPr>
                <w:rFonts w:ascii="Times New Roman" w:hAnsi="Times New Roman" w:eastAsia="宋体"/>
                <w:color w:val="auto"/>
                <w:szCs w:val="24"/>
              </w:rPr>
            </w:pPr>
            <w:r>
              <w:rPr>
                <w:rFonts w:ascii="Times New Roman" w:hAnsi="Times New Roman" w:eastAsia="宋体"/>
                <w:color w:val="auto"/>
                <w:szCs w:val="24"/>
              </w:rPr>
              <w:t>平均市盈率</w:t>
            </w:r>
          </w:p>
        </w:tc>
        <w:tc>
          <w:tcPr>
            <w:tcW w:w="1400" w:type="dxa"/>
            <w:noWrap w:val="0"/>
            <w:vAlign w:val="center"/>
          </w:tcPr>
          <w:p w14:paraId="24E90272">
            <w:pPr>
              <w:jc w:val="right"/>
              <w:rPr>
                <w:rFonts w:hint="default" w:ascii="Times New Roman" w:hAnsi="Times New Roman" w:eastAsia="宋体"/>
                <w:color w:val="auto"/>
                <w:szCs w:val="24"/>
                <w:lang w:val="en-US" w:eastAsia="zh-CN"/>
              </w:rPr>
            </w:pPr>
            <w:r>
              <w:rPr>
                <w:rFonts w:hint="eastAsia" w:ascii="Times New Roman" w:hAnsi="Times New Roman" w:eastAsia="宋体"/>
                <w:color w:val="auto"/>
                <w:szCs w:val="24"/>
                <w:highlight w:val="none"/>
                <w:lang w:val="en-US" w:eastAsia="zh-CN"/>
              </w:rPr>
              <w:t>15</w:t>
            </w:r>
            <w:r>
              <w:rPr>
                <w:rFonts w:hint="default" w:ascii="Times New Roman" w:hAnsi="Times New Roman" w:eastAsia="宋体"/>
                <w:color w:val="auto"/>
                <w:szCs w:val="24"/>
                <w:highlight w:val="none"/>
                <w:lang w:val="en-US" w:eastAsia="zh-CN"/>
              </w:rPr>
              <w:t>.</w:t>
            </w:r>
            <w:r>
              <w:rPr>
                <w:rFonts w:hint="eastAsia" w:ascii="Times New Roman" w:hAnsi="Times New Roman" w:eastAsia="宋体"/>
                <w:color w:val="auto"/>
                <w:szCs w:val="24"/>
                <w:highlight w:val="none"/>
                <w:lang w:val="en-US" w:eastAsia="zh-CN"/>
              </w:rPr>
              <w:t>04</w:t>
            </w:r>
          </w:p>
        </w:tc>
        <w:tc>
          <w:tcPr>
            <w:tcW w:w="1462" w:type="dxa"/>
            <w:noWrap w:val="0"/>
            <w:vAlign w:val="center"/>
          </w:tcPr>
          <w:p w14:paraId="221D394E">
            <w:pPr>
              <w:jc w:val="right"/>
              <w:rPr>
                <w:rFonts w:hint="default" w:ascii="Times New Roman" w:hAnsi="Times New Roman" w:eastAsia="宋体"/>
                <w:color w:val="auto"/>
                <w:szCs w:val="24"/>
                <w:lang w:val="en-US" w:eastAsia="zh-CN"/>
              </w:rPr>
            </w:pPr>
            <w:r>
              <w:rPr>
                <w:rFonts w:hint="eastAsia" w:ascii="Times New Roman" w:hAnsi="Times New Roman" w:eastAsia="宋体"/>
                <w:color w:val="auto"/>
                <w:szCs w:val="24"/>
              </w:rPr>
              <w:t>2</w:t>
            </w:r>
            <w:r>
              <w:rPr>
                <w:rFonts w:hint="eastAsia" w:ascii="Times New Roman" w:hAnsi="Times New Roman" w:eastAsia="宋体"/>
                <w:color w:val="auto"/>
                <w:szCs w:val="24"/>
                <w:lang w:val="en-US" w:eastAsia="zh-CN"/>
              </w:rPr>
              <w:t>6</w:t>
            </w:r>
            <w:r>
              <w:rPr>
                <w:rFonts w:hint="eastAsia" w:ascii="Times New Roman" w:hAnsi="Times New Roman" w:eastAsia="宋体"/>
                <w:color w:val="auto"/>
                <w:szCs w:val="24"/>
              </w:rPr>
              <w:t>.</w:t>
            </w:r>
            <w:r>
              <w:rPr>
                <w:rFonts w:hint="eastAsia" w:ascii="Times New Roman" w:hAnsi="Times New Roman" w:eastAsia="宋体"/>
                <w:color w:val="auto"/>
                <w:szCs w:val="24"/>
                <w:lang w:val="en-US" w:eastAsia="zh-CN"/>
              </w:rPr>
              <w:t>67</w:t>
            </w:r>
          </w:p>
        </w:tc>
        <w:tc>
          <w:tcPr>
            <w:tcW w:w="1324" w:type="dxa"/>
            <w:noWrap w:val="0"/>
            <w:vAlign w:val="center"/>
          </w:tcPr>
          <w:p w14:paraId="00FEEA69">
            <w:pPr>
              <w:jc w:val="right"/>
              <w:rPr>
                <w:rFonts w:hint="eastAsia" w:ascii="Times New Roman" w:hAnsi="Times New Roman" w:eastAsia="宋体"/>
                <w:color w:val="auto"/>
                <w:szCs w:val="24"/>
                <w:lang w:val="en-US" w:eastAsia="zh-CN"/>
              </w:rPr>
            </w:pPr>
            <w:r>
              <w:rPr>
                <w:rFonts w:hint="eastAsia" w:ascii="Times New Roman" w:hAnsi="Times New Roman" w:eastAsia="宋体"/>
                <w:color w:val="auto"/>
                <w:szCs w:val="24"/>
              </w:rPr>
              <w:t>4</w:t>
            </w:r>
            <w:r>
              <w:rPr>
                <w:rFonts w:hint="eastAsia" w:ascii="Times New Roman" w:hAnsi="Times New Roman" w:eastAsia="宋体"/>
                <w:color w:val="auto"/>
                <w:szCs w:val="24"/>
                <w:lang w:val="en-US" w:eastAsia="zh-CN"/>
              </w:rPr>
              <w:t>8</w:t>
            </w:r>
            <w:r>
              <w:rPr>
                <w:rFonts w:hint="eastAsia" w:ascii="Times New Roman" w:hAnsi="Times New Roman" w:eastAsia="宋体"/>
                <w:color w:val="auto"/>
                <w:szCs w:val="24"/>
              </w:rPr>
              <w:t>.6</w:t>
            </w:r>
            <w:r>
              <w:rPr>
                <w:rFonts w:hint="eastAsia" w:ascii="Times New Roman" w:hAnsi="Times New Roman" w:eastAsia="宋体"/>
                <w:color w:val="auto"/>
                <w:szCs w:val="24"/>
                <w:lang w:val="en-US" w:eastAsia="zh-CN"/>
              </w:rPr>
              <w:t>3</w:t>
            </w:r>
          </w:p>
        </w:tc>
        <w:tc>
          <w:tcPr>
            <w:tcW w:w="1380" w:type="dxa"/>
            <w:noWrap w:val="0"/>
            <w:vAlign w:val="center"/>
          </w:tcPr>
          <w:p w14:paraId="2E73B2E8">
            <w:pPr>
              <w:jc w:val="right"/>
              <w:rPr>
                <w:rFonts w:hint="default" w:ascii="Times New Roman" w:hAnsi="Times New Roman" w:eastAsia="宋体"/>
                <w:color w:val="auto"/>
                <w:szCs w:val="24"/>
                <w:lang w:val="en-US"/>
              </w:rPr>
            </w:pPr>
            <w:r>
              <w:rPr>
                <w:rFonts w:hint="eastAsia" w:ascii="Times New Roman" w:hAnsi="Times New Roman" w:eastAsia="宋体"/>
                <w:color w:val="auto"/>
                <w:szCs w:val="24"/>
                <w:lang w:val="en-US" w:eastAsia="zh-CN"/>
              </w:rPr>
              <w:t>81</w:t>
            </w:r>
            <w:r>
              <w:rPr>
                <w:rFonts w:hint="default" w:ascii="Times New Roman" w:hAnsi="Times New Roman" w:eastAsia="宋体"/>
                <w:color w:val="auto"/>
                <w:szCs w:val="24"/>
                <w:lang w:val="en-US" w:eastAsia="zh-CN"/>
              </w:rPr>
              <w:t>.</w:t>
            </w:r>
            <w:r>
              <w:rPr>
                <w:rFonts w:hint="eastAsia" w:ascii="Times New Roman" w:hAnsi="Times New Roman" w:eastAsia="宋体"/>
                <w:color w:val="auto"/>
                <w:szCs w:val="24"/>
                <w:lang w:val="en-US" w:eastAsia="zh-CN"/>
              </w:rPr>
              <w:t>02</w:t>
            </w:r>
          </w:p>
        </w:tc>
        <w:tc>
          <w:tcPr>
            <w:tcW w:w="1380" w:type="dxa"/>
            <w:noWrap w:val="0"/>
            <w:vAlign w:val="center"/>
          </w:tcPr>
          <w:p w14:paraId="1CE492EA">
            <w:pPr>
              <w:jc w:val="right"/>
              <w:rPr>
                <w:rFonts w:hint="default" w:ascii="Times New Roman" w:hAnsi="Times New Roman" w:eastAsia="宋体"/>
                <w:color w:val="auto"/>
                <w:szCs w:val="24"/>
                <w:highlight w:val="none"/>
                <w:lang w:val="en-US"/>
              </w:rPr>
            </w:pPr>
            <w:r>
              <w:rPr>
                <w:rFonts w:hint="eastAsia" w:ascii="Times New Roman" w:hAnsi="Times New Roman" w:eastAsia="宋体"/>
                <w:color w:val="auto"/>
                <w:szCs w:val="24"/>
                <w:highlight w:val="none"/>
                <w:lang w:val="en-US" w:eastAsia="zh-CN"/>
              </w:rPr>
              <w:t>41</w:t>
            </w:r>
            <w:r>
              <w:rPr>
                <w:rFonts w:hint="eastAsia" w:ascii="Times New Roman" w:hAnsi="Times New Roman" w:eastAsia="宋体"/>
                <w:color w:val="auto"/>
                <w:szCs w:val="24"/>
                <w:highlight w:val="none"/>
              </w:rPr>
              <w:t>.</w:t>
            </w:r>
            <w:r>
              <w:rPr>
                <w:rFonts w:hint="eastAsia" w:ascii="Times New Roman" w:hAnsi="Times New Roman" w:eastAsia="宋体"/>
                <w:color w:val="auto"/>
                <w:szCs w:val="24"/>
                <w:highlight w:val="none"/>
                <w:lang w:val="en-US" w:eastAsia="zh-CN"/>
              </w:rPr>
              <w:t>94</w:t>
            </w:r>
          </w:p>
        </w:tc>
      </w:tr>
    </w:tbl>
    <w:p w14:paraId="4A189640">
      <w:pPr>
        <w:tabs>
          <w:tab w:val="left" w:pos="7560"/>
          <w:tab w:val="left" w:pos="8100"/>
        </w:tabs>
        <w:spacing w:after="156" w:afterLines="50" w:line="360" w:lineRule="auto"/>
        <w:ind w:firstLine="480" w:firstLineChars="200"/>
        <w:jc w:val="right"/>
        <w:rPr>
          <w:rFonts w:ascii="Times New Roman" w:hAnsi="Times New Roman" w:eastAsia="宋体"/>
          <w:color w:val="auto"/>
          <w:szCs w:val="24"/>
        </w:rPr>
      </w:pPr>
      <w:r>
        <w:rPr>
          <w:rFonts w:ascii="Times New Roman" w:hAnsi="Times New Roman" w:eastAsia="宋体"/>
          <w:color w:val="auto"/>
          <w:szCs w:val="24"/>
        </w:rPr>
        <w:t xml:space="preserve">数据来源：上交所网站 深交所网站 </w:t>
      </w:r>
      <w:r>
        <w:rPr>
          <w:rFonts w:hint="eastAsia" w:ascii="Times New Roman" w:hAnsi="Times New Roman" w:eastAsia="宋体"/>
          <w:color w:val="auto"/>
          <w:szCs w:val="24"/>
          <w:lang w:eastAsia="zh-Hans"/>
        </w:rPr>
        <w:t>北交所网站</w:t>
      </w:r>
    </w:p>
    <w:p w14:paraId="1D2FC445">
      <w:pPr>
        <w:numPr>
          <w:ilvl w:val="1"/>
          <w:numId w:val="1"/>
        </w:numPr>
        <w:tabs>
          <w:tab w:val="left" w:pos="0"/>
          <w:tab w:val="left" w:pos="840"/>
          <w:tab w:val="clear" w:pos="846"/>
        </w:tabs>
        <w:spacing w:after="156" w:afterLines="50" w:line="360" w:lineRule="auto"/>
        <w:ind w:left="0" w:firstLine="480" w:firstLineChars="200"/>
        <w:rPr>
          <w:rFonts w:ascii="Times New Roman" w:hAnsi="Times New Roman" w:eastAsia="宋体"/>
          <w:szCs w:val="24"/>
        </w:rPr>
      </w:pPr>
      <w:r>
        <w:rPr>
          <w:rFonts w:ascii="Times New Roman" w:hAnsi="Times New Roman" w:eastAsia="宋体"/>
          <w:szCs w:val="24"/>
        </w:rPr>
        <w:t>IPO发行情况</w:t>
      </w:r>
    </w:p>
    <w:p w14:paraId="3FFED206">
      <w:pPr>
        <w:keepNext w:val="0"/>
        <w:keepLines w:val="0"/>
        <w:pageBreakBefore w:val="0"/>
        <w:widowControl/>
        <w:kinsoku/>
        <w:wordWrap/>
        <w:overflowPunct/>
        <w:topLinePunct w:val="0"/>
        <w:autoSpaceDE/>
        <w:autoSpaceDN/>
        <w:bidi w:val="0"/>
        <w:adjustRightInd/>
        <w:snapToGrid/>
        <w:spacing w:after="156" w:afterLines="50" w:line="360" w:lineRule="auto"/>
        <w:ind w:firstLine="480" w:firstLineChars="200"/>
        <w:textAlignment w:val="auto"/>
        <w:rPr>
          <w:rFonts w:hint="eastAsia" w:ascii="Times New Roman" w:hAnsi="Times New Roman" w:eastAsia="宋体"/>
          <w:kern w:val="0"/>
        </w:rPr>
      </w:pPr>
      <w:r>
        <w:rPr>
          <w:rFonts w:ascii="Times New Roman" w:hAnsi="Times New Roman" w:eastAsia="宋体"/>
          <w:kern w:val="0"/>
        </w:rPr>
        <w:t>自202</w:t>
      </w:r>
      <w:r>
        <w:rPr>
          <w:rFonts w:hint="eastAsia" w:ascii="Times New Roman" w:hAnsi="Times New Roman" w:eastAsia="宋体"/>
          <w:kern w:val="0"/>
          <w:lang w:val="en-US" w:eastAsia="zh-CN"/>
        </w:rPr>
        <w:t>6</w:t>
      </w:r>
      <w:r>
        <w:rPr>
          <w:rFonts w:ascii="Times New Roman" w:hAnsi="Times New Roman" w:eastAsia="宋体"/>
          <w:kern w:val="0"/>
        </w:rPr>
        <w:t>年</w:t>
      </w:r>
      <w:r>
        <w:rPr>
          <w:rFonts w:hint="eastAsia" w:ascii="Times New Roman" w:hAnsi="Times New Roman" w:eastAsia="宋体"/>
          <w:kern w:val="0"/>
          <w:lang w:val="en-US" w:eastAsia="zh-CN"/>
        </w:rPr>
        <w:t>4</w:t>
      </w:r>
      <w:r>
        <w:rPr>
          <w:rFonts w:ascii="Times New Roman" w:hAnsi="Times New Roman" w:eastAsia="宋体"/>
          <w:kern w:val="0"/>
        </w:rPr>
        <w:t>月1日至202</w:t>
      </w:r>
      <w:r>
        <w:rPr>
          <w:rFonts w:hint="eastAsia" w:ascii="Times New Roman" w:hAnsi="Times New Roman" w:eastAsia="宋体"/>
          <w:kern w:val="0"/>
          <w:lang w:val="en-US" w:eastAsia="zh-CN"/>
        </w:rPr>
        <w:t>6</w:t>
      </w:r>
      <w:r>
        <w:rPr>
          <w:rFonts w:ascii="Times New Roman" w:hAnsi="Times New Roman" w:eastAsia="宋体"/>
          <w:kern w:val="0"/>
        </w:rPr>
        <w:t>年</w:t>
      </w:r>
      <w:r>
        <w:rPr>
          <w:rFonts w:hint="eastAsia" w:ascii="Times New Roman" w:hAnsi="Times New Roman" w:eastAsia="宋体"/>
          <w:kern w:val="0"/>
          <w:lang w:val="en-US" w:eastAsia="zh-CN"/>
        </w:rPr>
        <w:t>4</w:t>
      </w:r>
      <w:r>
        <w:rPr>
          <w:rFonts w:ascii="Times New Roman" w:hAnsi="Times New Roman" w:eastAsia="宋体"/>
          <w:kern w:val="0"/>
        </w:rPr>
        <w:t>月</w:t>
      </w:r>
      <w:r>
        <w:rPr>
          <w:rFonts w:hint="eastAsia" w:ascii="Times New Roman" w:hAnsi="Times New Roman" w:eastAsia="宋体"/>
          <w:kern w:val="0"/>
          <w:lang w:val="en-US" w:eastAsia="zh-CN"/>
        </w:rPr>
        <w:t>30</w:t>
      </w:r>
      <w:r>
        <w:rPr>
          <w:rFonts w:ascii="Times New Roman" w:hAnsi="Times New Roman" w:eastAsia="宋体"/>
          <w:kern w:val="0"/>
        </w:rPr>
        <w:t>日，共有</w:t>
      </w:r>
      <w:r>
        <w:rPr>
          <w:rFonts w:hint="eastAsia" w:ascii="Times New Roman" w:hAnsi="Times New Roman" w:eastAsia="宋体"/>
          <w:kern w:val="0"/>
          <w:lang w:val="en-US" w:eastAsia="zh-CN"/>
        </w:rPr>
        <w:t>19</w:t>
      </w:r>
      <w:r>
        <w:rPr>
          <w:rFonts w:ascii="Times New Roman" w:hAnsi="Times New Roman" w:eastAsia="宋体"/>
          <w:kern w:val="0"/>
        </w:rPr>
        <w:t>家公司完成首次公开发行，总共发行</w:t>
      </w:r>
      <w:r>
        <w:rPr>
          <w:rFonts w:hint="eastAsia" w:ascii="Times New Roman" w:hAnsi="Times New Roman" w:eastAsia="宋体"/>
          <w:kern w:val="0"/>
          <w:lang w:val="en-US" w:eastAsia="zh-CN"/>
        </w:rPr>
        <w:t>99</w:t>
      </w:r>
      <w:r>
        <w:rPr>
          <w:rFonts w:hint="eastAsia" w:ascii="Times New Roman" w:hAnsi="Times New Roman" w:eastAsia="宋体"/>
          <w:kern w:val="0"/>
        </w:rPr>
        <w:t>,4</w:t>
      </w:r>
      <w:r>
        <w:rPr>
          <w:rFonts w:hint="eastAsia" w:ascii="Times New Roman" w:hAnsi="Times New Roman" w:eastAsia="宋体"/>
          <w:kern w:val="0"/>
          <w:lang w:val="en-US" w:eastAsia="zh-CN"/>
        </w:rPr>
        <w:t>68</w:t>
      </w:r>
      <w:r>
        <w:rPr>
          <w:rFonts w:ascii="Times New Roman" w:hAnsi="Times New Roman" w:eastAsia="宋体"/>
          <w:kern w:val="0"/>
        </w:rPr>
        <w:t>万股，募集资金</w:t>
      </w:r>
      <w:r>
        <w:rPr>
          <w:rFonts w:hint="default" w:ascii="Times New Roman" w:hAnsi="Times New Roman" w:eastAsia="宋体"/>
          <w:kern w:val="0"/>
          <w:lang w:val="en-US"/>
        </w:rPr>
        <w:t>2,</w:t>
      </w:r>
      <w:r>
        <w:rPr>
          <w:rFonts w:hint="eastAsia" w:ascii="Times New Roman" w:hAnsi="Times New Roman" w:eastAsia="宋体"/>
          <w:kern w:val="0"/>
          <w:lang w:val="en-US" w:eastAsia="zh-CN"/>
        </w:rPr>
        <w:t>117</w:t>
      </w:r>
      <w:r>
        <w:rPr>
          <w:rFonts w:hint="eastAsia" w:ascii="Times New Roman" w:hAnsi="Times New Roman" w:eastAsia="宋体"/>
          <w:kern w:val="0"/>
        </w:rPr>
        <w:t>,</w:t>
      </w:r>
      <w:r>
        <w:rPr>
          <w:rFonts w:hint="eastAsia" w:ascii="Times New Roman" w:hAnsi="Times New Roman" w:eastAsia="宋体"/>
          <w:kern w:val="0"/>
          <w:lang w:val="en-US" w:eastAsia="zh-CN"/>
        </w:rPr>
        <w:t>123</w:t>
      </w:r>
      <w:r>
        <w:rPr>
          <w:rFonts w:hint="eastAsia" w:ascii="Times New Roman" w:hAnsi="Times New Roman" w:eastAsia="宋体"/>
          <w:kern w:val="0"/>
        </w:rPr>
        <w:t>.</w:t>
      </w:r>
      <w:r>
        <w:rPr>
          <w:rFonts w:hint="eastAsia" w:ascii="Times New Roman" w:hAnsi="Times New Roman" w:eastAsia="宋体"/>
          <w:kern w:val="0"/>
          <w:lang w:val="en-US" w:eastAsia="zh-CN"/>
        </w:rPr>
        <w:t>40</w:t>
      </w:r>
      <w:r>
        <w:rPr>
          <w:rFonts w:hint="eastAsia" w:ascii="Times New Roman" w:hAnsi="Times New Roman" w:eastAsia="宋体"/>
          <w:kern w:val="0"/>
        </w:rPr>
        <w:t>万</w:t>
      </w:r>
      <w:r>
        <w:rPr>
          <w:rFonts w:ascii="Times New Roman" w:hAnsi="Times New Roman" w:eastAsia="宋体"/>
          <w:kern w:val="0"/>
        </w:rPr>
        <w:t>元</w:t>
      </w:r>
      <w:r>
        <w:rPr>
          <w:rFonts w:hint="eastAsia" w:ascii="Times New Roman" w:hAnsi="Times New Roman" w:eastAsia="宋体"/>
          <w:kern w:val="0"/>
        </w:rPr>
        <w:t>。</w:t>
      </w:r>
    </w:p>
    <w:p w14:paraId="71A7E816">
      <w:pPr>
        <w:keepNext w:val="0"/>
        <w:keepLines w:val="0"/>
        <w:pageBreakBefore w:val="0"/>
        <w:widowControl/>
        <w:kinsoku/>
        <w:wordWrap/>
        <w:overflowPunct/>
        <w:topLinePunct w:val="0"/>
        <w:autoSpaceDE/>
        <w:autoSpaceDN/>
        <w:bidi w:val="0"/>
        <w:adjustRightInd/>
        <w:snapToGrid/>
        <w:spacing w:after="156" w:afterLines="50" w:line="360" w:lineRule="auto"/>
        <w:ind w:firstLine="480" w:firstLineChars="200"/>
        <w:textAlignment w:val="auto"/>
        <w:rPr>
          <w:rFonts w:ascii="Times New Roman" w:hAnsi="Times New Roman" w:eastAsia="宋体"/>
          <w:kern w:val="0"/>
          <w:highlight w:val="none"/>
        </w:rPr>
      </w:pPr>
      <w:r>
        <w:rPr>
          <w:rFonts w:ascii="Times New Roman" w:hAnsi="Times New Roman" w:eastAsia="宋体"/>
          <w:kern w:val="0"/>
          <w:highlight w:val="none"/>
        </w:rPr>
        <w:t>其中，</w:t>
      </w:r>
      <w:r>
        <w:rPr>
          <w:rFonts w:hint="eastAsia" w:ascii="Times New Roman" w:hAnsi="Times New Roman" w:eastAsia="宋体"/>
          <w:kern w:val="0"/>
          <w:highlight w:val="none"/>
        </w:rPr>
        <w:t>沪市主板发行</w:t>
      </w:r>
      <w:r>
        <w:rPr>
          <w:rFonts w:hint="default" w:ascii="Times New Roman" w:hAnsi="Times New Roman" w:eastAsia="宋体"/>
          <w:kern w:val="0"/>
          <w:highlight w:val="none"/>
          <w:lang w:val="en-US"/>
        </w:rPr>
        <w:t>2</w:t>
      </w:r>
      <w:r>
        <w:rPr>
          <w:rFonts w:hint="eastAsia" w:ascii="Times New Roman" w:hAnsi="Times New Roman" w:eastAsia="宋体"/>
          <w:kern w:val="0"/>
          <w:highlight w:val="none"/>
        </w:rPr>
        <w:t>家，</w:t>
      </w:r>
      <w:r>
        <w:rPr>
          <w:rFonts w:hint="eastAsia" w:ascii="Times New Roman" w:hAnsi="Times New Roman" w:eastAsia="宋体"/>
          <w:kern w:val="0"/>
          <w:highlight w:val="none"/>
          <w:lang w:val="en-US" w:eastAsia="zh-CN"/>
        </w:rPr>
        <w:t>共</w:t>
      </w:r>
      <w:r>
        <w:rPr>
          <w:rFonts w:hint="eastAsia" w:ascii="Times New Roman" w:hAnsi="Times New Roman" w:eastAsia="宋体"/>
          <w:kern w:val="0"/>
          <w:highlight w:val="none"/>
        </w:rPr>
        <w:t>发行</w:t>
      </w:r>
      <w:r>
        <w:rPr>
          <w:rFonts w:hint="default" w:ascii="Times New Roman" w:hAnsi="Times New Roman" w:eastAsia="宋体"/>
          <w:kern w:val="0"/>
          <w:highlight w:val="none"/>
          <w:lang w:val="en-US"/>
        </w:rPr>
        <w:t>1</w:t>
      </w:r>
      <w:r>
        <w:rPr>
          <w:rFonts w:hint="eastAsia" w:ascii="Times New Roman" w:hAnsi="Times New Roman" w:eastAsia="宋体" w:cs="Times New Roman"/>
          <w:color w:val="auto"/>
          <w:szCs w:val="24"/>
          <w:highlight w:val="none"/>
          <w:lang w:val="en-US" w:eastAsia="zh-CN"/>
        </w:rPr>
        <w:t>4,</w:t>
      </w:r>
      <w:r>
        <w:rPr>
          <w:rFonts w:hint="default" w:ascii="Times New Roman" w:hAnsi="Times New Roman" w:eastAsia="宋体" w:cs="Times New Roman"/>
          <w:color w:val="auto"/>
          <w:szCs w:val="24"/>
          <w:highlight w:val="none"/>
          <w:lang w:val="en-US" w:eastAsia="zh-CN"/>
        </w:rPr>
        <w:t>477</w:t>
      </w:r>
      <w:r>
        <w:rPr>
          <w:rFonts w:hint="eastAsia" w:ascii="Times New Roman" w:hAnsi="Times New Roman" w:eastAsia="宋体"/>
          <w:kern w:val="0"/>
          <w:highlight w:val="none"/>
        </w:rPr>
        <w:t>万股，募集资金</w:t>
      </w:r>
      <w:r>
        <w:rPr>
          <w:rFonts w:hint="default" w:ascii="Times New Roman" w:hAnsi="Times New Roman" w:eastAsia="宋体"/>
          <w:kern w:val="0"/>
          <w:highlight w:val="none"/>
          <w:lang w:val="en-US"/>
        </w:rPr>
        <w:t>326</w:t>
      </w:r>
      <w:r>
        <w:rPr>
          <w:rFonts w:hint="eastAsia" w:ascii="Times New Roman" w:hAnsi="Times New Roman" w:eastAsia="宋体" w:cs="Times New Roman"/>
          <w:color w:val="auto"/>
          <w:szCs w:val="24"/>
          <w:highlight w:val="none"/>
          <w:lang w:val="en-US" w:eastAsia="zh-CN"/>
        </w:rPr>
        <w:t>,</w:t>
      </w:r>
      <w:r>
        <w:rPr>
          <w:rFonts w:hint="default" w:ascii="Times New Roman" w:hAnsi="Times New Roman" w:eastAsia="宋体" w:cs="Times New Roman"/>
          <w:color w:val="auto"/>
          <w:szCs w:val="24"/>
          <w:highlight w:val="none"/>
          <w:lang w:val="en-US" w:eastAsia="zh-CN"/>
        </w:rPr>
        <w:t>9</w:t>
      </w:r>
      <w:r>
        <w:rPr>
          <w:rFonts w:hint="eastAsia" w:ascii="Times New Roman" w:hAnsi="Times New Roman" w:eastAsia="宋体" w:cs="Times New Roman"/>
          <w:color w:val="auto"/>
          <w:szCs w:val="24"/>
          <w:highlight w:val="none"/>
          <w:lang w:val="en-US" w:eastAsia="zh-CN"/>
        </w:rPr>
        <w:t>43.73</w:t>
      </w:r>
      <w:r>
        <w:rPr>
          <w:rFonts w:hint="eastAsia" w:ascii="Times New Roman" w:hAnsi="Times New Roman" w:eastAsia="宋体"/>
          <w:kern w:val="0"/>
          <w:highlight w:val="none"/>
        </w:rPr>
        <w:t>万元；深市主板发行</w:t>
      </w:r>
      <w:r>
        <w:rPr>
          <w:rFonts w:hint="default" w:ascii="Times New Roman" w:hAnsi="Times New Roman" w:eastAsia="宋体"/>
          <w:kern w:val="0"/>
          <w:highlight w:val="none"/>
          <w:lang w:val="en-US"/>
        </w:rPr>
        <w:t>1</w:t>
      </w:r>
      <w:r>
        <w:rPr>
          <w:rFonts w:hint="eastAsia" w:ascii="Times New Roman" w:hAnsi="Times New Roman" w:eastAsia="宋体"/>
          <w:kern w:val="0"/>
          <w:highlight w:val="none"/>
        </w:rPr>
        <w:t>家，</w:t>
      </w:r>
      <w:r>
        <w:rPr>
          <w:rFonts w:hint="eastAsia" w:ascii="Times New Roman" w:hAnsi="Times New Roman" w:eastAsia="宋体"/>
          <w:kern w:val="0"/>
          <w:highlight w:val="none"/>
          <w:lang w:val="en-US" w:eastAsia="zh-CN"/>
        </w:rPr>
        <w:t>共</w:t>
      </w:r>
      <w:r>
        <w:rPr>
          <w:rFonts w:hint="eastAsia" w:ascii="Times New Roman" w:hAnsi="Times New Roman" w:eastAsia="宋体"/>
          <w:kern w:val="0"/>
          <w:highlight w:val="none"/>
        </w:rPr>
        <w:t>发行</w:t>
      </w:r>
      <w:r>
        <w:rPr>
          <w:rFonts w:hint="default" w:ascii="Times New Roman" w:hAnsi="Times New Roman" w:eastAsia="宋体"/>
          <w:kern w:val="0"/>
          <w:highlight w:val="none"/>
          <w:lang w:val="en-US"/>
        </w:rPr>
        <w:t>5</w:t>
      </w:r>
      <w:r>
        <w:rPr>
          <w:rFonts w:hint="eastAsia" w:ascii="Times New Roman" w:hAnsi="Times New Roman" w:eastAsia="宋体" w:cs="Times New Roman"/>
          <w:color w:val="auto"/>
          <w:szCs w:val="24"/>
          <w:highlight w:val="none"/>
          <w:lang w:val="en-US" w:eastAsia="zh-CN"/>
        </w:rPr>
        <w:t>,</w:t>
      </w:r>
      <w:r>
        <w:rPr>
          <w:rFonts w:hint="default" w:ascii="Times New Roman" w:hAnsi="Times New Roman" w:eastAsia="宋体" w:cs="Times New Roman"/>
          <w:color w:val="auto"/>
          <w:szCs w:val="24"/>
          <w:highlight w:val="none"/>
          <w:lang w:val="en-US" w:eastAsia="zh-CN"/>
        </w:rPr>
        <w:t>833</w:t>
      </w:r>
      <w:r>
        <w:rPr>
          <w:rFonts w:hint="eastAsia" w:ascii="Times New Roman" w:hAnsi="Times New Roman" w:eastAsia="宋体"/>
          <w:kern w:val="0"/>
          <w:highlight w:val="none"/>
        </w:rPr>
        <w:t>万股，募集资金</w:t>
      </w:r>
      <w:r>
        <w:rPr>
          <w:rFonts w:hint="default" w:ascii="Times New Roman" w:hAnsi="Times New Roman" w:eastAsia="宋体"/>
          <w:kern w:val="0"/>
          <w:highlight w:val="none"/>
          <w:lang w:val="en-US"/>
        </w:rPr>
        <w:t>107</w:t>
      </w:r>
      <w:r>
        <w:rPr>
          <w:rFonts w:hint="eastAsia" w:ascii="Times New Roman" w:hAnsi="Times New Roman" w:eastAsia="宋体" w:cs="Times New Roman"/>
          <w:color w:val="auto"/>
          <w:szCs w:val="24"/>
          <w:highlight w:val="none"/>
          <w:lang w:val="en-US" w:eastAsia="zh-CN"/>
        </w:rPr>
        <w:t>,</w:t>
      </w:r>
      <w:r>
        <w:rPr>
          <w:rFonts w:hint="default" w:ascii="Times New Roman" w:hAnsi="Times New Roman" w:eastAsia="宋体" w:cs="Times New Roman"/>
          <w:color w:val="auto"/>
          <w:szCs w:val="24"/>
          <w:highlight w:val="none"/>
          <w:lang w:val="en-US" w:eastAsia="zh-CN"/>
        </w:rPr>
        <w:t>21</w:t>
      </w:r>
      <w:r>
        <w:rPr>
          <w:rFonts w:hint="eastAsia" w:ascii="Times New Roman" w:hAnsi="Times New Roman" w:eastAsia="宋体" w:cs="Times New Roman"/>
          <w:color w:val="auto"/>
          <w:szCs w:val="24"/>
          <w:highlight w:val="none"/>
          <w:lang w:val="en-US" w:eastAsia="zh-CN"/>
        </w:rPr>
        <w:t>0.54</w:t>
      </w:r>
      <w:r>
        <w:rPr>
          <w:rFonts w:hint="eastAsia" w:ascii="Times New Roman" w:hAnsi="Times New Roman" w:eastAsia="宋体"/>
          <w:kern w:val="0"/>
          <w:highlight w:val="none"/>
        </w:rPr>
        <w:t>万元；</w:t>
      </w:r>
      <w:r>
        <w:rPr>
          <w:rFonts w:ascii="Times New Roman" w:hAnsi="Times New Roman" w:eastAsia="宋体"/>
          <w:kern w:val="0"/>
          <w:highlight w:val="none"/>
        </w:rPr>
        <w:t>创业板发行</w:t>
      </w:r>
      <w:r>
        <w:rPr>
          <w:rFonts w:hint="default" w:ascii="Times New Roman" w:hAnsi="Times New Roman" w:eastAsia="宋体"/>
          <w:kern w:val="0"/>
          <w:highlight w:val="none"/>
          <w:lang w:val="en-US"/>
        </w:rPr>
        <w:t>5</w:t>
      </w:r>
      <w:r>
        <w:rPr>
          <w:rFonts w:ascii="Times New Roman" w:hAnsi="Times New Roman" w:eastAsia="宋体"/>
          <w:kern w:val="0"/>
          <w:highlight w:val="none"/>
        </w:rPr>
        <w:t>家，共发行</w:t>
      </w:r>
      <w:r>
        <w:rPr>
          <w:rFonts w:hint="eastAsia" w:ascii="Times New Roman" w:hAnsi="Times New Roman" w:eastAsia="宋体"/>
          <w:kern w:val="0"/>
          <w:highlight w:val="none"/>
        </w:rPr>
        <w:t>1</w:t>
      </w:r>
      <w:r>
        <w:rPr>
          <w:rFonts w:hint="eastAsia" w:ascii="Times New Roman" w:hAnsi="Times New Roman" w:eastAsia="宋体"/>
          <w:kern w:val="0"/>
          <w:highlight w:val="none"/>
          <w:lang w:val="en-US" w:eastAsia="zh-CN"/>
        </w:rPr>
        <w:t>8</w:t>
      </w:r>
      <w:r>
        <w:rPr>
          <w:rFonts w:hint="eastAsia" w:ascii="Times New Roman" w:hAnsi="Times New Roman" w:eastAsia="宋体"/>
          <w:kern w:val="0"/>
          <w:highlight w:val="none"/>
        </w:rPr>
        <w:t>,91</w:t>
      </w:r>
      <w:r>
        <w:rPr>
          <w:rFonts w:hint="eastAsia" w:ascii="Times New Roman" w:hAnsi="Times New Roman" w:eastAsia="宋体"/>
          <w:kern w:val="0"/>
          <w:highlight w:val="none"/>
          <w:lang w:val="en-US" w:eastAsia="zh-CN"/>
        </w:rPr>
        <w:t>5</w:t>
      </w:r>
      <w:r>
        <w:rPr>
          <w:rFonts w:ascii="Times New Roman" w:hAnsi="Times New Roman" w:eastAsia="宋体"/>
          <w:kern w:val="0"/>
          <w:highlight w:val="none"/>
        </w:rPr>
        <w:t>万股，募集资金</w:t>
      </w:r>
      <w:r>
        <w:rPr>
          <w:rFonts w:hint="eastAsia" w:ascii="Times New Roman" w:hAnsi="Times New Roman" w:eastAsia="宋体"/>
          <w:kern w:val="0"/>
          <w:highlight w:val="none"/>
          <w:lang w:val="en-US" w:eastAsia="zh-CN"/>
        </w:rPr>
        <w:t>580,132.62</w:t>
      </w:r>
      <w:r>
        <w:rPr>
          <w:rFonts w:hint="eastAsia" w:ascii="Times New Roman" w:hAnsi="Times New Roman" w:eastAsia="宋体"/>
          <w:color w:val="auto"/>
          <w:szCs w:val="24"/>
          <w:highlight w:val="none"/>
        </w:rPr>
        <w:t>万</w:t>
      </w:r>
      <w:r>
        <w:rPr>
          <w:rFonts w:ascii="Times New Roman" w:hAnsi="Times New Roman" w:eastAsia="宋体"/>
          <w:kern w:val="0"/>
          <w:highlight w:val="none"/>
        </w:rPr>
        <w:t>元</w:t>
      </w:r>
      <w:r>
        <w:rPr>
          <w:rFonts w:hint="eastAsia" w:ascii="Times New Roman" w:hAnsi="Times New Roman" w:eastAsia="宋体"/>
          <w:kern w:val="0"/>
          <w:highlight w:val="none"/>
        </w:rPr>
        <w:t>；科创板</w:t>
      </w:r>
      <w:r>
        <w:rPr>
          <w:rFonts w:ascii="Times New Roman" w:hAnsi="Times New Roman" w:eastAsia="宋体"/>
          <w:kern w:val="0"/>
          <w:highlight w:val="none"/>
        </w:rPr>
        <w:t>发行</w:t>
      </w:r>
      <w:r>
        <w:rPr>
          <w:rFonts w:hint="eastAsia" w:ascii="Times New Roman" w:hAnsi="Times New Roman" w:eastAsia="宋体"/>
          <w:kern w:val="0"/>
          <w:highlight w:val="none"/>
          <w:lang w:val="en-US" w:eastAsia="zh-CN"/>
        </w:rPr>
        <w:t>3</w:t>
      </w:r>
      <w:r>
        <w:rPr>
          <w:rFonts w:ascii="Times New Roman" w:hAnsi="Times New Roman" w:eastAsia="宋体"/>
          <w:kern w:val="0"/>
          <w:highlight w:val="none"/>
        </w:rPr>
        <w:t>家，共发行</w:t>
      </w:r>
      <w:r>
        <w:rPr>
          <w:rFonts w:hint="eastAsia" w:ascii="Times New Roman" w:hAnsi="Times New Roman" w:eastAsia="宋体"/>
          <w:kern w:val="0"/>
          <w:highlight w:val="none"/>
          <w:lang w:val="en-US" w:eastAsia="zh-CN"/>
        </w:rPr>
        <w:t>41</w:t>
      </w:r>
      <w:r>
        <w:rPr>
          <w:rFonts w:hint="eastAsia" w:ascii="Times New Roman" w:hAnsi="Times New Roman" w:eastAsia="宋体"/>
          <w:kern w:val="0"/>
          <w:highlight w:val="none"/>
        </w:rPr>
        <w:t>,1</w:t>
      </w:r>
      <w:r>
        <w:rPr>
          <w:rFonts w:hint="eastAsia" w:ascii="Times New Roman" w:hAnsi="Times New Roman" w:eastAsia="宋体"/>
          <w:kern w:val="0"/>
          <w:highlight w:val="none"/>
          <w:lang w:val="en-US" w:eastAsia="zh-CN"/>
        </w:rPr>
        <w:t>58</w:t>
      </w:r>
      <w:r>
        <w:rPr>
          <w:rFonts w:ascii="Times New Roman" w:hAnsi="Times New Roman" w:eastAsia="宋体"/>
          <w:kern w:val="0"/>
          <w:highlight w:val="none"/>
        </w:rPr>
        <w:t>万股，募集资金</w:t>
      </w:r>
      <w:r>
        <w:rPr>
          <w:rFonts w:hint="eastAsia" w:ascii="Times New Roman" w:hAnsi="Times New Roman" w:eastAsia="宋体"/>
          <w:kern w:val="0"/>
          <w:highlight w:val="none"/>
          <w:lang w:val="en-US" w:eastAsia="zh-CN"/>
        </w:rPr>
        <w:t>796</w:t>
      </w:r>
      <w:r>
        <w:rPr>
          <w:rFonts w:hint="eastAsia" w:ascii="Times New Roman" w:hAnsi="Times New Roman" w:eastAsia="宋体"/>
          <w:kern w:val="0"/>
          <w:highlight w:val="none"/>
        </w:rPr>
        <w:t>,</w:t>
      </w:r>
      <w:r>
        <w:rPr>
          <w:rFonts w:hint="eastAsia" w:ascii="Times New Roman" w:hAnsi="Times New Roman" w:eastAsia="宋体"/>
          <w:kern w:val="0"/>
          <w:highlight w:val="none"/>
          <w:lang w:val="en-US" w:eastAsia="zh-CN"/>
        </w:rPr>
        <w:t>562.96</w:t>
      </w:r>
      <w:r>
        <w:rPr>
          <w:rFonts w:hint="eastAsia" w:ascii="Times New Roman" w:hAnsi="Times New Roman" w:eastAsia="宋体"/>
          <w:color w:val="auto"/>
          <w:szCs w:val="24"/>
          <w:highlight w:val="none"/>
        </w:rPr>
        <w:t>万</w:t>
      </w:r>
      <w:r>
        <w:rPr>
          <w:rFonts w:ascii="Times New Roman" w:hAnsi="Times New Roman" w:eastAsia="宋体"/>
          <w:kern w:val="0"/>
          <w:highlight w:val="none"/>
        </w:rPr>
        <w:t>元</w:t>
      </w:r>
      <w:r>
        <w:rPr>
          <w:rFonts w:hint="eastAsia" w:ascii="Times New Roman" w:hAnsi="Times New Roman" w:eastAsia="宋体"/>
          <w:kern w:val="0"/>
          <w:highlight w:val="none"/>
          <w:lang w:eastAsia="zh-Hans"/>
        </w:rPr>
        <w:t>；北交所</w:t>
      </w:r>
      <w:r>
        <w:rPr>
          <w:rFonts w:ascii="Times New Roman" w:hAnsi="Times New Roman" w:eastAsia="宋体"/>
          <w:kern w:val="0"/>
          <w:highlight w:val="none"/>
        </w:rPr>
        <w:t>发行</w:t>
      </w:r>
      <w:r>
        <w:rPr>
          <w:rFonts w:hint="eastAsia" w:ascii="Times New Roman" w:hAnsi="Times New Roman" w:eastAsia="宋体"/>
          <w:kern w:val="0"/>
          <w:highlight w:val="none"/>
          <w:lang w:val="en-US" w:eastAsia="zh-CN"/>
        </w:rPr>
        <w:t>8</w:t>
      </w:r>
      <w:r>
        <w:rPr>
          <w:rFonts w:ascii="Times New Roman" w:hAnsi="Times New Roman" w:eastAsia="宋体"/>
          <w:kern w:val="0"/>
          <w:highlight w:val="none"/>
        </w:rPr>
        <w:t>家，</w:t>
      </w:r>
      <w:r>
        <w:rPr>
          <w:rFonts w:hint="eastAsia" w:ascii="Times New Roman" w:hAnsi="Times New Roman" w:eastAsia="宋体"/>
          <w:kern w:val="0"/>
          <w:highlight w:val="none"/>
          <w:lang w:val="en-US" w:eastAsia="zh-CN"/>
        </w:rPr>
        <w:t>共</w:t>
      </w:r>
      <w:r>
        <w:rPr>
          <w:rFonts w:ascii="Times New Roman" w:hAnsi="Times New Roman" w:eastAsia="宋体"/>
          <w:kern w:val="0"/>
          <w:highlight w:val="none"/>
        </w:rPr>
        <w:t>发</w:t>
      </w:r>
      <w:r>
        <w:rPr>
          <w:rFonts w:hint="eastAsia" w:ascii="Times New Roman" w:hAnsi="Times New Roman" w:eastAsia="宋体"/>
          <w:kern w:val="0"/>
          <w:highlight w:val="none"/>
          <w:lang w:eastAsia="zh-Hans"/>
        </w:rPr>
        <w:t>行</w:t>
      </w:r>
      <w:r>
        <w:rPr>
          <w:rFonts w:hint="eastAsia" w:ascii="Times New Roman" w:hAnsi="Times New Roman" w:eastAsia="宋体"/>
          <w:kern w:val="0"/>
          <w:highlight w:val="none"/>
          <w:lang w:val="en-US" w:eastAsia="zh-CN"/>
        </w:rPr>
        <w:t>1</w:t>
      </w:r>
      <w:r>
        <w:rPr>
          <w:rFonts w:hint="eastAsia" w:ascii="Times New Roman" w:hAnsi="Times New Roman" w:eastAsia="宋体"/>
          <w:kern w:val="0"/>
          <w:highlight w:val="none"/>
          <w:lang w:eastAsia="zh-Hans"/>
        </w:rPr>
        <w:t>9,</w:t>
      </w:r>
      <w:r>
        <w:rPr>
          <w:rFonts w:hint="eastAsia" w:ascii="Times New Roman" w:hAnsi="Times New Roman" w:eastAsia="宋体"/>
          <w:kern w:val="0"/>
          <w:highlight w:val="none"/>
          <w:lang w:val="en-US" w:eastAsia="zh-CN"/>
        </w:rPr>
        <w:t>085</w:t>
      </w:r>
      <w:r>
        <w:rPr>
          <w:rFonts w:ascii="Times New Roman" w:hAnsi="Times New Roman" w:eastAsia="宋体"/>
          <w:kern w:val="0"/>
          <w:highlight w:val="none"/>
        </w:rPr>
        <w:t>万股，募集资金</w:t>
      </w:r>
      <w:r>
        <w:rPr>
          <w:rFonts w:hint="eastAsia" w:ascii="Times New Roman" w:hAnsi="Times New Roman" w:eastAsia="宋体"/>
          <w:kern w:val="0"/>
          <w:highlight w:val="none"/>
          <w:lang w:val="en-US" w:eastAsia="zh-CN"/>
        </w:rPr>
        <w:t>306</w:t>
      </w:r>
      <w:r>
        <w:rPr>
          <w:rFonts w:hint="eastAsia" w:ascii="Times New Roman" w:hAnsi="Times New Roman" w:eastAsia="宋体"/>
          <w:kern w:val="0"/>
          <w:highlight w:val="none"/>
        </w:rPr>
        <w:t>,</w:t>
      </w:r>
      <w:r>
        <w:rPr>
          <w:rFonts w:hint="eastAsia" w:ascii="Times New Roman" w:hAnsi="Times New Roman" w:eastAsia="宋体"/>
          <w:kern w:val="0"/>
          <w:highlight w:val="none"/>
          <w:lang w:val="en-US" w:eastAsia="zh-CN"/>
        </w:rPr>
        <w:t>273</w:t>
      </w:r>
      <w:r>
        <w:rPr>
          <w:rFonts w:hint="eastAsia" w:ascii="Times New Roman" w:hAnsi="Times New Roman" w:eastAsia="宋体"/>
          <w:kern w:val="0"/>
          <w:highlight w:val="none"/>
        </w:rPr>
        <w:t>.</w:t>
      </w:r>
      <w:r>
        <w:rPr>
          <w:rFonts w:hint="eastAsia" w:ascii="Times New Roman" w:hAnsi="Times New Roman" w:eastAsia="宋体"/>
          <w:kern w:val="0"/>
          <w:highlight w:val="none"/>
          <w:lang w:val="en-US" w:eastAsia="zh-CN"/>
        </w:rPr>
        <w:t>55</w:t>
      </w:r>
      <w:r>
        <w:rPr>
          <w:rFonts w:hint="eastAsia" w:ascii="Times New Roman" w:hAnsi="Times New Roman" w:eastAsia="宋体"/>
          <w:color w:val="auto"/>
          <w:szCs w:val="24"/>
          <w:highlight w:val="none"/>
        </w:rPr>
        <w:t>万</w:t>
      </w:r>
      <w:r>
        <w:rPr>
          <w:rFonts w:ascii="Times New Roman" w:hAnsi="Times New Roman" w:eastAsia="宋体"/>
          <w:kern w:val="0"/>
          <w:highlight w:val="none"/>
        </w:rPr>
        <w:t>元</w:t>
      </w:r>
      <w:r>
        <w:rPr>
          <w:rFonts w:hint="eastAsia" w:ascii="Times New Roman" w:hAnsi="Times New Roman" w:eastAsia="宋体"/>
          <w:kern w:val="0"/>
          <w:highlight w:val="none"/>
        </w:rPr>
        <w:t>。</w:t>
      </w:r>
    </w:p>
    <w:p w14:paraId="4FEAC8D7">
      <w:pPr>
        <w:keepNext w:val="0"/>
        <w:keepLines w:val="0"/>
        <w:pageBreakBefore w:val="0"/>
        <w:widowControl w:val="0"/>
        <w:numPr>
          <w:ilvl w:val="1"/>
          <w:numId w:val="1"/>
        </w:numPr>
        <w:tabs>
          <w:tab w:val="left" w:pos="0"/>
          <w:tab w:val="left" w:pos="840"/>
          <w:tab w:val="clear" w:pos="846"/>
        </w:tabs>
        <w:kinsoku/>
        <w:wordWrap/>
        <w:overflowPunct/>
        <w:topLinePunct w:val="0"/>
        <w:autoSpaceDE/>
        <w:autoSpaceDN/>
        <w:bidi w:val="0"/>
        <w:adjustRightInd/>
        <w:snapToGrid/>
        <w:spacing w:after="156" w:afterLines="50" w:line="360" w:lineRule="auto"/>
        <w:ind w:left="0" w:firstLine="480" w:firstLineChars="200"/>
        <w:textAlignment w:val="auto"/>
        <w:rPr>
          <w:rFonts w:ascii="Times New Roman" w:hAnsi="Times New Roman" w:eastAsia="宋体"/>
          <w:color w:val="auto"/>
          <w:szCs w:val="24"/>
          <w:highlight w:val="none"/>
        </w:rPr>
      </w:pPr>
      <w:r>
        <w:rPr>
          <w:rFonts w:ascii="Times New Roman" w:hAnsi="Times New Roman" w:eastAsia="宋体"/>
          <w:color w:val="auto"/>
          <w:szCs w:val="24"/>
          <w:highlight w:val="none"/>
        </w:rPr>
        <w:t>202</w:t>
      </w:r>
      <w:r>
        <w:rPr>
          <w:rFonts w:hint="eastAsia" w:ascii="Times New Roman" w:hAnsi="Times New Roman" w:eastAsia="宋体"/>
          <w:color w:val="auto"/>
          <w:szCs w:val="24"/>
          <w:highlight w:val="none"/>
          <w:lang w:val="en-US" w:eastAsia="zh-CN"/>
        </w:rPr>
        <w:t>6</w:t>
      </w:r>
      <w:r>
        <w:rPr>
          <w:rFonts w:ascii="Times New Roman" w:hAnsi="Times New Roman" w:eastAsia="宋体"/>
          <w:color w:val="auto"/>
          <w:szCs w:val="24"/>
          <w:highlight w:val="none"/>
        </w:rPr>
        <w:t>年</w:t>
      </w:r>
      <w:r>
        <w:rPr>
          <w:rFonts w:hint="eastAsia" w:ascii="Times New Roman" w:hAnsi="Times New Roman" w:eastAsia="宋体"/>
          <w:color w:val="auto"/>
          <w:szCs w:val="24"/>
          <w:highlight w:val="none"/>
          <w:lang w:val="en-US" w:eastAsia="zh-CN"/>
        </w:rPr>
        <w:t>4</w:t>
      </w:r>
      <w:r>
        <w:rPr>
          <w:rFonts w:ascii="Times New Roman" w:hAnsi="Times New Roman" w:eastAsia="宋体"/>
          <w:color w:val="auto"/>
          <w:szCs w:val="24"/>
          <w:highlight w:val="none"/>
        </w:rPr>
        <w:t>月完成首次公开发行公司情况</w:t>
      </w:r>
    </w:p>
    <w:p w14:paraId="7F7A1CDD">
      <w:pPr>
        <w:numPr>
          <w:ilvl w:val="0"/>
          <w:numId w:val="2"/>
        </w:numPr>
        <w:tabs>
          <w:tab w:val="left" w:pos="0"/>
          <w:tab w:val="left" w:pos="4680"/>
        </w:tabs>
        <w:spacing w:after="156" w:afterLines="50" w:line="360" w:lineRule="auto"/>
        <w:ind w:firstLine="480" w:firstLineChars="200"/>
        <w:rPr>
          <w:rFonts w:ascii="Times New Roman" w:hAnsi="Times New Roman" w:eastAsia="宋体"/>
          <w:b/>
          <w:bCs/>
          <w:kern w:val="0"/>
          <w:highlight w:val="none"/>
        </w:rPr>
      </w:pPr>
      <w:r>
        <w:rPr>
          <w:rFonts w:ascii="Times New Roman" w:hAnsi="Times New Roman" w:eastAsia="宋体"/>
          <w:szCs w:val="24"/>
          <w:highlight w:val="none"/>
        </w:rPr>
        <w:t>沪市主板IPO发行公司情况</w:t>
      </w:r>
    </w:p>
    <w:tbl>
      <w:tblPr>
        <w:tblStyle w:val="7"/>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394"/>
        <w:gridCol w:w="1755"/>
        <w:gridCol w:w="1559"/>
        <w:gridCol w:w="1559"/>
        <w:gridCol w:w="1783"/>
      </w:tblGrid>
      <w:tr w14:paraId="5D867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blHeader/>
          <w:jc w:val="center"/>
        </w:trPr>
        <w:tc>
          <w:tcPr>
            <w:tcW w:w="1238" w:type="dxa"/>
            <w:shd w:val="solid" w:color="C0C0C0" w:fill="auto"/>
            <w:noWrap w:val="0"/>
            <w:vAlign w:val="center"/>
          </w:tcPr>
          <w:p w14:paraId="48902E2A">
            <w:pPr>
              <w:keepNext w:val="0"/>
              <w:keepLines w:val="0"/>
              <w:pageBreakBefore w:val="0"/>
              <w:widowControl w:val="0"/>
              <w:shd w:val="solid" w:color="C0C0C0" w:fill="auto"/>
              <w:kinsoku/>
              <w:wordWrap/>
              <w:overflowPunct/>
              <w:topLinePunct w:val="0"/>
              <w:autoSpaceDE/>
              <w:autoSpaceDN w:val="0"/>
              <w:bidi w:val="0"/>
              <w:adjustRightInd/>
              <w:snapToGrid/>
              <w:jc w:val="center"/>
              <w:textAlignment w:val="center"/>
              <w:rPr>
                <w:rFonts w:ascii="Times New Roman" w:hAnsi="Times New Roman" w:eastAsia="宋体"/>
                <w:b/>
                <w:bCs/>
                <w:color w:val="auto"/>
                <w:szCs w:val="24"/>
                <w:highlight w:val="none"/>
              </w:rPr>
            </w:pPr>
            <w:r>
              <w:rPr>
                <w:rFonts w:ascii="Times New Roman" w:hAnsi="Times New Roman" w:eastAsia="宋体"/>
                <w:b/>
                <w:color w:val="auto"/>
                <w:szCs w:val="24"/>
                <w:highlight w:val="none"/>
                <w:shd w:val="clear" w:color="auto" w:fill="C0C0C0"/>
              </w:rPr>
              <w:t>代码</w:t>
            </w:r>
          </w:p>
        </w:tc>
        <w:tc>
          <w:tcPr>
            <w:tcW w:w="1394" w:type="dxa"/>
            <w:shd w:val="solid" w:color="C0C0C0" w:fill="auto"/>
            <w:noWrap w:val="0"/>
            <w:vAlign w:val="center"/>
          </w:tcPr>
          <w:p w14:paraId="193C00D8">
            <w:pPr>
              <w:keepNext w:val="0"/>
              <w:keepLines w:val="0"/>
              <w:pageBreakBefore w:val="0"/>
              <w:widowControl w:val="0"/>
              <w:shd w:val="solid" w:color="C0C0C0" w:fill="auto"/>
              <w:kinsoku/>
              <w:wordWrap/>
              <w:overflowPunct/>
              <w:topLinePunct w:val="0"/>
              <w:autoSpaceDE/>
              <w:autoSpaceDN w:val="0"/>
              <w:bidi w:val="0"/>
              <w:adjustRightInd/>
              <w:snapToGrid/>
              <w:jc w:val="center"/>
              <w:textAlignment w:val="center"/>
              <w:rPr>
                <w:rFonts w:ascii="Times New Roman" w:hAnsi="Times New Roman" w:eastAsia="宋体"/>
                <w:b/>
                <w:bCs/>
                <w:color w:val="auto"/>
                <w:szCs w:val="24"/>
                <w:highlight w:val="none"/>
              </w:rPr>
            </w:pPr>
            <w:r>
              <w:rPr>
                <w:rFonts w:ascii="Times New Roman" w:hAnsi="Times New Roman" w:eastAsia="宋体"/>
                <w:b/>
                <w:color w:val="auto"/>
                <w:szCs w:val="24"/>
                <w:highlight w:val="none"/>
                <w:shd w:val="clear" w:color="auto" w:fill="C0C0C0"/>
              </w:rPr>
              <w:t>股票简称</w:t>
            </w:r>
          </w:p>
        </w:tc>
        <w:tc>
          <w:tcPr>
            <w:tcW w:w="1755" w:type="dxa"/>
            <w:shd w:val="solid" w:color="C0C0C0" w:fill="auto"/>
            <w:noWrap w:val="0"/>
            <w:vAlign w:val="center"/>
          </w:tcPr>
          <w:p w14:paraId="20C94D88">
            <w:pPr>
              <w:keepNext w:val="0"/>
              <w:keepLines w:val="0"/>
              <w:pageBreakBefore w:val="0"/>
              <w:widowControl w:val="0"/>
              <w:shd w:val="solid" w:color="C0C0C0" w:fill="auto"/>
              <w:kinsoku/>
              <w:wordWrap/>
              <w:overflowPunct/>
              <w:topLinePunct w:val="0"/>
              <w:autoSpaceDE/>
              <w:autoSpaceDN w:val="0"/>
              <w:bidi w:val="0"/>
              <w:adjustRightInd/>
              <w:snapToGrid/>
              <w:jc w:val="center"/>
              <w:textAlignment w:val="center"/>
              <w:rPr>
                <w:rFonts w:hint="eastAsia" w:ascii="Times New Roman" w:hAnsi="Times New Roman" w:eastAsia="宋体"/>
                <w:b/>
                <w:bCs/>
                <w:color w:val="auto"/>
                <w:szCs w:val="24"/>
                <w:highlight w:val="none"/>
              </w:rPr>
            </w:pPr>
            <w:r>
              <w:rPr>
                <w:rFonts w:ascii="Times New Roman" w:hAnsi="Times New Roman" w:eastAsia="宋体"/>
                <w:b/>
                <w:color w:val="auto"/>
                <w:szCs w:val="24"/>
                <w:highlight w:val="none"/>
                <w:shd w:val="clear" w:color="auto" w:fill="C0C0C0"/>
              </w:rPr>
              <w:t>募集资金总额</w:t>
            </w:r>
            <w:r>
              <w:rPr>
                <w:rFonts w:hint="eastAsia" w:ascii="Times New Roman" w:hAnsi="Times New Roman" w:eastAsia="宋体"/>
                <w:b/>
                <w:color w:val="auto"/>
                <w:szCs w:val="24"/>
                <w:highlight w:val="none"/>
                <w:shd w:val="clear" w:color="auto" w:fill="C0C0C0"/>
              </w:rPr>
              <w:t>（万元）</w:t>
            </w:r>
          </w:p>
        </w:tc>
        <w:tc>
          <w:tcPr>
            <w:tcW w:w="1559" w:type="dxa"/>
            <w:shd w:val="solid" w:color="C0C0C0" w:fill="auto"/>
            <w:noWrap w:val="0"/>
            <w:vAlign w:val="center"/>
          </w:tcPr>
          <w:p w14:paraId="4A195119">
            <w:pPr>
              <w:keepNext w:val="0"/>
              <w:keepLines w:val="0"/>
              <w:pageBreakBefore w:val="0"/>
              <w:widowControl w:val="0"/>
              <w:shd w:val="solid" w:color="C0C0C0" w:fill="auto"/>
              <w:kinsoku/>
              <w:wordWrap/>
              <w:overflowPunct/>
              <w:topLinePunct w:val="0"/>
              <w:autoSpaceDE/>
              <w:autoSpaceDN w:val="0"/>
              <w:bidi w:val="0"/>
              <w:adjustRightInd/>
              <w:snapToGrid/>
              <w:jc w:val="center"/>
              <w:textAlignment w:val="center"/>
              <w:rPr>
                <w:rFonts w:ascii="Times New Roman" w:hAnsi="Times New Roman" w:eastAsia="宋体"/>
                <w:b/>
                <w:bCs/>
                <w:color w:val="auto"/>
                <w:szCs w:val="24"/>
                <w:highlight w:val="none"/>
              </w:rPr>
            </w:pPr>
            <w:r>
              <w:rPr>
                <w:rFonts w:ascii="Times New Roman" w:hAnsi="Times New Roman" w:eastAsia="宋体"/>
                <w:b/>
                <w:color w:val="auto"/>
                <w:szCs w:val="24"/>
                <w:highlight w:val="none"/>
                <w:shd w:val="clear" w:color="auto" w:fill="C0C0C0"/>
              </w:rPr>
              <w:t>上市日期</w:t>
            </w:r>
          </w:p>
        </w:tc>
        <w:tc>
          <w:tcPr>
            <w:tcW w:w="1559" w:type="dxa"/>
            <w:shd w:val="solid" w:color="C0C0C0" w:fill="auto"/>
            <w:noWrap w:val="0"/>
            <w:vAlign w:val="center"/>
          </w:tcPr>
          <w:p w14:paraId="1FB0419C">
            <w:pPr>
              <w:keepNext w:val="0"/>
              <w:keepLines w:val="0"/>
              <w:pageBreakBefore w:val="0"/>
              <w:widowControl w:val="0"/>
              <w:shd w:val="solid" w:color="C0C0C0" w:fill="auto"/>
              <w:kinsoku/>
              <w:wordWrap/>
              <w:overflowPunct/>
              <w:topLinePunct w:val="0"/>
              <w:autoSpaceDE/>
              <w:autoSpaceDN w:val="0"/>
              <w:bidi w:val="0"/>
              <w:adjustRightInd/>
              <w:snapToGrid/>
              <w:jc w:val="center"/>
              <w:textAlignment w:val="center"/>
              <w:rPr>
                <w:rFonts w:hint="eastAsia" w:ascii="Times New Roman" w:hAnsi="Times New Roman" w:eastAsia="宋体"/>
                <w:b/>
                <w:bCs/>
                <w:color w:val="auto"/>
                <w:szCs w:val="24"/>
                <w:highlight w:val="none"/>
              </w:rPr>
            </w:pPr>
            <w:r>
              <w:rPr>
                <w:rFonts w:ascii="Times New Roman" w:hAnsi="Times New Roman" w:eastAsia="宋体"/>
                <w:b/>
                <w:color w:val="auto"/>
                <w:szCs w:val="24"/>
                <w:highlight w:val="none"/>
                <w:shd w:val="clear" w:color="auto" w:fill="C0C0C0"/>
              </w:rPr>
              <w:t>发行价</w:t>
            </w:r>
            <w:r>
              <w:rPr>
                <w:rFonts w:hint="eastAsia" w:ascii="Times New Roman" w:hAnsi="Times New Roman" w:eastAsia="宋体"/>
                <w:b/>
                <w:color w:val="auto"/>
                <w:szCs w:val="24"/>
                <w:highlight w:val="none"/>
                <w:shd w:val="clear" w:color="auto" w:fill="C0C0C0"/>
              </w:rPr>
              <w:t>（元）</w:t>
            </w:r>
          </w:p>
        </w:tc>
        <w:tc>
          <w:tcPr>
            <w:tcW w:w="1783" w:type="dxa"/>
            <w:shd w:val="solid" w:color="C0C0C0" w:fill="auto"/>
            <w:noWrap w:val="0"/>
            <w:vAlign w:val="center"/>
          </w:tcPr>
          <w:p w14:paraId="7AF8A582">
            <w:pPr>
              <w:keepNext w:val="0"/>
              <w:keepLines w:val="0"/>
              <w:pageBreakBefore w:val="0"/>
              <w:widowControl w:val="0"/>
              <w:shd w:val="solid" w:color="C0C0C0" w:fill="auto"/>
              <w:kinsoku/>
              <w:wordWrap/>
              <w:overflowPunct/>
              <w:topLinePunct w:val="0"/>
              <w:autoSpaceDE/>
              <w:autoSpaceDN w:val="0"/>
              <w:bidi w:val="0"/>
              <w:adjustRightInd/>
              <w:snapToGrid/>
              <w:jc w:val="center"/>
              <w:textAlignment w:val="center"/>
              <w:rPr>
                <w:rFonts w:ascii="Times New Roman" w:hAnsi="Times New Roman" w:eastAsia="宋体"/>
                <w:b/>
                <w:bCs/>
                <w:color w:val="auto"/>
                <w:szCs w:val="24"/>
                <w:highlight w:val="none"/>
              </w:rPr>
            </w:pPr>
            <w:r>
              <w:rPr>
                <w:rFonts w:ascii="Times New Roman" w:hAnsi="Times New Roman" w:eastAsia="宋体"/>
                <w:b/>
                <w:color w:val="auto"/>
                <w:szCs w:val="24"/>
                <w:highlight w:val="none"/>
                <w:shd w:val="clear" w:color="auto" w:fill="C0C0C0"/>
              </w:rPr>
              <w:t>发行量</w:t>
            </w:r>
            <w:r>
              <w:rPr>
                <w:rFonts w:hint="eastAsia" w:ascii="Times New Roman" w:hAnsi="Times New Roman" w:eastAsia="宋体"/>
                <w:b/>
                <w:color w:val="auto"/>
                <w:szCs w:val="24"/>
                <w:highlight w:val="none"/>
                <w:shd w:val="clear" w:color="auto" w:fill="C0C0C0"/>
              </w:rPr>
              <w:t>（万股）</w:t>
            </w:r>
          </w:p>
        </w:tc>
      </w:tr>
      <w:tr w14:paraId="6172D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238" w:type="dxa"/>
            <w:shd w:val="solid" w:color="FFFFFF" w:fill="auto"/>
            <w:noWrap w:val="0"/>
            <w:vAlign w:val="center"/>
          </w:tcPr>
          <w:p w14:paraId="2166F6C7">
            <w:pPr>
              <w:shd w:val="solid" w:color="FFFFFF" w:fill="auto"/>
              <w:autoSpaceDN w:val="0"/>
              <w:jc w:val="center"/>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603459</w:t>
            </w:r>
          </w:p>
        </w:tc>
        <w:tc>
          <w:tcPr>
            <w:tcW w:w="1394" w:type="dxa"/>
            <w:shd w:val="solid" w:color="FFFFFF" w:fill="auto"/>
            <w:noWrap w:val="0"/>
            <w:vAlign w:val="center"/>
          </w:tcPr>
          <w:p w14:paraId="55E55279">
            <w:pPr>
              <w:shd w:val="solid" w:color="FFFFFF" w:fill="auto"/>
              <w:autoSpaceDN w:val="0"/>
              <w:jc w:val="center"/>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红板科技</w:t>
            </w:r>
          </w:p>
        </w:tc>
        <w:tc>
          <w:tcPr>
            <w:tcW w:w="1755" w:type="dxa"/>
            <w:shd w:val="solid" w:color="FFFFFF" w:fill="auto"/>
            <w:noWrap w:val="0"/>
            <w:vAlign w:val="center"/>
          </w:tcPr>
          <w:p w14:paraId="4E1BE670">
            <w:pPr>
              <w:shd w:val="solid" w:color="FFFFFF" w:fill="auto"/>
              <w:autoSpaceDN w:val="0"/>
              <w:jc w:val="right"/>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 xml:space="preserve">177,000.00 </w:t>
            </w:r>
          </w:p>
        </w:tc>
        <w:tc>
          <w:tcPr>
            <w:tcW w:w="1559" w:type="dxa"/>
            <w:shd w:val="solid" w:color="FFFFFF" w:fill="auto"/>
            <w:noWrap w:val="0"/>
            <w:vAlign w:val="center"/>
          </w:tcPr>
          <w:p w14:paraId="4E322737">
            <w:pPr>
              <w:shd w:val="solid" w:color="FFFFFF" w:fill="auto"/>
              <w:autoSpaceDN w:val="0"/>
              <w:jc w:val="center"/>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2026-04-08</w:t>
            </w:r>
          </w:p>
        </w:tc>
        <w:tc>
          <w:tcPr>
            <w:tcW w:w="1559" w:type="dxa"/>
            <w:shd w:val="solid" w:color="FFFFFF" w:fill="auto"/>
            <w:noWrap w:val="0"/>
            <w:vAlign w:val="center"/>
          </w:tcPr>
          <w:p w14:paraId="0D5B338F">
            <w:pPr>
              <w:shd w:val="solid" w:color="FFFFFF" w:fill="auto"/>
              <w:autoSpaceDN w:val="0"/>
              <w:jc w:val="right"/>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17.7</w:t>
            </w:r>
            <w:r>
              <w:rPr>
                <w:rFonts w:hint="eastAsia" w:ascii="Times New Roman" w:hAnsi="Times New Roman" w:eastAsia="宋体" w:cs="Times New Roman"/>
                <w:color w:val="auto"/>
                <w:szCs w:val="24"/>
                <w:highlight w:val="none"/>
                <w:lang w:val="en-US" w:eastAsia="zh-CN"/>
              </w:rPr>
              <w:t>0</w:t>
            </w:r>
          </w:p>
        </w:tc>
        <w:tc>
          <w:tcPr>
            <w:tcW w:w="1783" w:type="dxa"/>
            <w:shd w:val="solid" w:color="FFFFFF" w:fill="auto"/>
            <w:noWrap w:val="0"/>
            <w:vAlign w:val="center"/>
          </w:tcPr>
          <w:p w14:paraId="620B6D51">
            <w:pPr>
              <w:shd w:val="solid" w:color="FFFFFF" w:fill="auto"/>
              <w:autoSpaceDN w:val="0"/>
              <w:jc w:val="right"/>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 xml:space="preserve">10,000 </w:t>
            </w:r>
          </w:p>
        </w:tc>
      </w:tr>
      <w:tr w14:paraId="7F9F2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238" w:type="dxa"/>
            <w:shd w:val="solid" w:color="FFFFFF" w:fill="auto"/>
            <w:noWrap w:val="0"/>
            <w:vAlign w:val="center"/>
          </w:tcPr>
          <w:p w14:paraId="5A577A6E">
            <w:pPr>
              <w:shd w:val="solid" w:color="FFFFFF" w:fill="auto"/>
              <w:autoSpaceDN w:val="0"/>
              <w:jc w:val="center"/>
              <w:textAlignment w:val="center"/>
              <w:rPr>
                <w:rFonts w:hint="eastAsia" w:ascii="Times New Roman" w:hAnsi="Times New Roman" w:eastAsia="宋体" w:cs="Times New Roman"/>
                <w:color w:val="auto"/>
                <w:kern w:val="2"/>
                <w:sz w:val="24"/>
                <w:szCs w:val="24"/>
                <w:highlight w:val="none"/>
                <w:lang w:val="en-US" w:eastAsia="zh-CN" w:bidi="ar-SA"/>
              </w:rPr>
            </w:pPr>
            <w:r>
              <w:rPr>
                <w:rFonts w:hint="eastAsia" w:ascii="Times New Roman" w:hAnsi="Times New Roman" w:eastAsia="宋体" w:cs="Times New Roman"/>
                <w:color w:val="auto"/>
                <w:szCs w:val="24"/>
                <w:highlight w:val="none"/>
                <w:lang w:val="en-US" w:eastAsia="zh-CN"/>
              </w:rPr>
              <w:t>603293</w:t>
            </w:r>
          </w:p>
        </w:tc>
        <w:tc>
          <w:tcPr>
            <w:tcW w:w="1394" w:type="dxa"/>
            <w:shd w:val="solid" w:color="FFFFFF" w:fill="auto"/>
            <w:noWrap w:val="0"/>
            <w:vAlign w:val="center"/>
          </w:tcPr>
          <w:p w14:paraId="2C321B63">
            <w:pPr>
              <w:shd w:val="solid" w:color="FFFFFF" w:fill="auto"/>
              <w:autoSpaceDN w:val="0"/>
              <w:jc w:val="center"/>
              <w:textAlignment w:val="center"/>
              <w:rPr>
                <w:rFonts w:hint="eastAsia" w:ascii="Times New Roman" w:hAnsi="Times New Roman" w:eastAsia="宋体" w:cs="Times New Roman"/>
                <w:color w:val="auto"/>
                <w:kern w:val="2"/>
                <w:sz w:val="24"/>
                <w:szCs w:val="24"/>
                <w:highlight w:val="none"/>
                <w:lang w:val="en-US" w:eastAsia="zh-CN" w:bidi="ar-SA"/>
              </w:rPr>
            </w:pPr>
            <w:r>
              <w:rPr>
                <w:rFonts w:hint="eastAsia" w:ascii="Times New Roman" w:hAnsi="Times New Roman" w:eastAsia="宋体" w:cs="Times New Roman"/>
                <w:color w:val="auto"/>
                <w:szCs w:val="24"/>
                <w:highlight w:val="none"/>
                <w:lang w:val="en-US" w:eastAsia="zh-CN"/>
              </w:rPr>
              <w:t>埃泰克</w:t>
            </w:r>
          </w:p>
        </w:tc>
        <w:tc>
          <w:tcPr>
            <w:tcW w:w="1755" w:type="dxa"/>
            <w:shd w:val="solid" w:color="FFFFFF" w:fill="auto"/>
            <w:noWrap w:val="0"/>
            <w:vAlign w:val="center"/>
          </w:tcPr>
          <w:p w14:paraId="596BD044">
            <w:pPr>
              <w:shd w:val="solid" w:color="FFFFFF" w:fill="auto"/>
              <w:autoSpaceDN w:val="0"/>
              <w:jc w:val="right"/>
              <w:textAlignment w:val="center"/>
              <w:rPr>
                <w:rFonts w:hint="eastAsia" w:ascii="Times New Roman" w:hAnsi="Times New Roman" w:eastAsia="宋体" w:cs="Times New Roman"/>
                <w:color w:val="auto"/>
                <w:kern w:val="2"/>
                <w:sz w:val="24"/>
                <w:szCs w:val="24"/>
                <w:highlight w:val="none"/>
                <w:lang w:val="en-US" w:eastAsia="zh-CN" w:bidi="ar-SA"/>
              </w:rPr>
            </w:pPr>
            <w:r>
              <w:rPr>
                <w:rFonts w:hint="eastAsia" w:ascii="Times New Roman" w:hAnsi="Times New Roman" w:eastAsia="宋体" w:cs="Times New Roman"/>
                <w:color w:val="auto"/>
                <w:szCs w:val="24"/>
                <w:highlight w:val="none"/>
                <w:lang w:val="en-US" w:eastAsia="zh-CN"/>
              </w:rPr>
              <w:t>149,943.73</w:t>
            </w:r>
          </w:p>
        </w:tc>
        <w:tc>
          <w:tcPr>
            <w:tcW w:w="1559" w:type="dxa"/>
            <w:shd w:val="solid" w:color="FFFFFF" w:fill="auto"/>
            <w:noWrap w:val="0"/>
            <w:vAlign w:val="center"/>
          </w:tcPr>
          <w:p w14:paraId="4A511146">
            <w:pPr>
              <w:shd w:val="solid" w:color="FFFFFF" w:fill="auto"/>
              <w:autoSpaceDN w:val="0"/>
              <w:jc w:val="center"/>
              <w:textAlignment w:val="center"/>
              <w:rPr>
                <w:rFonts w:hint="eastAsia" w:ascii="Times New Roman" w:hAnsi="Times New Roman" w:eastAsia="宋体" w:cs="Times New Roman"/>
                <w:color w:val="auto"/>
                <w:kern w:val="2"/>
                <w:sz w:val="24"/>
                <w:szCs w:val="24"/>
                <w:highlight w:val="none"/>
                <w:lang w:val="en-US" w:eastAsia="zh-CN" w:bidi="ar-SA"/>
              </w:rPr>
            </w:pPr>
            <w:r>
              <w:rPr>
                <w:rFonts w:hint="eastAsia" w:ascii="Times New Roman" w:hAnsi="Times New Roman" w:eastAsia="宋体" w:cs="Times New Roman"/>
                <w:color w:val="auto"/>
                <w:szCs w:val="24"/>
                <w:highlight w:val="none"/>
                <w:lang w:val="en-US" w:eastAsia="zh-CN"/>
              </w:rPr>
              <w:t>2026-04-16</w:t>
            </w:r>
          </w:p>
        </w:tc>
        <w:tc>
          <w:tcPr>
            <w:tcW w:w="1559" w:type="dxa"/>
            <w:shd w:val="solid" w:color="FFFFFF" w:fill="auto"/>
            <w:noWrap w:val="0"/>
            <w:vAlign w:val="center"/>
          </w:tcPr>
          <w:p w14:paraId="7D5E5104">
            <w:pPr>
              <w:shd w:val="solid" w:color="FFFFFF" w:fill="auto"/>
              <w:autoSpaceDN w:val="0"/>
              <w:jc w:val="right"/>
              <w:textAlignment w:val="center"/>
              <w:rPr>
                <w:rFonts w:hint="eastAsia" w:ascii="Times New Roman" w:hAnsi="Times New Roman" w:eastAsia="宋体" w:cs="Times New Roman"/>
                <w:color w:val="auto"/>
                <w:kern w:val="2"/>
                <w:sz w:val="24"/>
                <w:szCs w:val="24"/>
                <w:highlight w:val="none"/>
                <w:lang w:val="en-US" w:eastAsia="zh-CN" w:bidi="ar-SA"/>
              </w:rPr>
            </w:pPr>
            <w:r>
              <w:rPr>
                <w:rFonts w:hint="eastAsia" w:ascii="Times New Roman" w:hAnsi="Times New Roman" w:eastAsia="宋体" w:cs="Times New Roman"/>
                <w:color w:val="auto"/>
                <w:szCs w:val="24"/>
                <w:highlight w:val="none"/>
                <w:lang w:val="en-US" w:eastAsia="zh-CN"/>
              </w:rPr>
              <w:t>33.49</w:t>
            </w:r>
          </w:p>
        </w:tc>
        <w:tc>
          <w:tcPr>
            <w:tcW w:w="1783" w:type="dxa"/>
            <w:shd w:val="solid" w:color="FFFFFF" w:fill="auto"/>
            <w:noWrap w:val="0"/>
            <w:vAlign w:val="center"/>
          </w:tcPr>
          <w:p w14:paraId="187DBAEB">
            <w:pPr>
              <w:shd w:val="solid" w:color="FFFFFF" w:fill="auto"/>
              <w:autoSpaceDN w:val="0"/>
              <w:jc w:val="right"/>
              <w:textAlignment w:val="center"/>
              <w:rPr>
                <w:rFonts w:hint="eastAsia" w:ascii="Times New Roman" w:hAnsi="Times New Roman" w:eastAsia="宋体" w:cs="Times New Roman"/>
                <w:color w:val="auto"/>
                <w:kern w:val="2"/>
                <w:sz w:val="24"/>
                <w:szCs w:val="24"/>
                <w:highlight w:val="none"/>
                <w:lang w:val="en-US" w:eastAsia="zh-CN" w:bidi="ar-SA"/>
              </w:rPr>
            </w:pPr>
            <w:r>
              <w:rPr>
                <w:rFonts w:hint="eastAsia" w:ascii="Times New Roman" w:hAnsi="Times New Roman" w:eastAsia="宋体" w:cs="Times New Roman"/>
                <w:color w:val="auto"/>
                <w:szCs w:val="24"/>
                <w:highlight w:val="none"/>
                <w:lang w:val="en-US" w:eastAsia="zh-CN"/>
              </w:rPr>
              <w:t>4,477</w:t>
            </w:r>
          </w:p>
        </w:tc>
      </w:tr>
      <w:tr w14:paraId="73D1F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238" w:type="dxa"/>
            <w:shd w:val="solid" w:color="FFFFFF" w:fill="auto"/>
            <w:noWrap w:val="0"/>
            <w:vAlign w:val="center"/>
          </w:tcPr>
          <w:p w14:paraId="111BD774">
            <w:pPr>
              <w:shd w:val="solid" w:color="FFFFFF" w:fill="auto"/>
              <w:autoSpaceDN w:val="0"/>
              <w:jc w:val="center"/>
              <w:textAlignment w:val="center"/>
              <w:rPr>
                <w:rFonts w:hint="eastAsia" w:ascii="Times New Roman" w:hAnsi="Times New Roman" w:eastAsia="宋体" w:cs="Times New Roman"/>
                <w:b/>
                <w:bCs/>
                <w:color w:val="auto"/>
                <w:kern w:val="2"/>
                <w:sz w:val="24"/>
                <w:szCs w:val="24"/>
                <w:highlight w:val="none"/>
                <w:lang w:val="en-US" w:eastAsia="zh-Hans" w:bidi="ar-SA"/>
              </w:rPr>
            </w:pPr>
            <w:r>
              <w:rPr>
                <w:rFonts w:ascii="Times New Roman" w:hAnsi="Times New Roman" w:eastAsia="宋体"/>
                <w:b/>
                <w:bCs/>
                <w:color w:val="auto"/>
                <w:szCs w:val="24"/>
                <w:highlight w:val="none"/>
                <w:lang w:eastAsia="zh-Hans"/>
              </w:rPr>
              <w:t>总计</w:t>
            </w:r>
          </w:p>
        </w:tc>
        <w:tc>
          <w:tcPr>
            <w:tcW w:w="1394" w:type="dxa"/>
            <w:shd w:val="solid" w:color="FFFFFF" w:fill="auto"/>
            <w:noWrap w:val="0"/>
            <w:vAlign w:val="center"/>
          </w:tcPr>
          <w:p w14:paraId="1CE2C033">
            <w:pPr>
              <w:shd w:val="solid" w:color="FFFFFF" w:fill="auto"/>
              <w:autoSpaceDN w:val="0"/>
              <w:jc w:val="center"/>
              <w:textAlignment w:val="center"/>
              <w:rPr>
                <w:rFonts w:hint="eastAsia" w:ascii="Times New Roman" w:hAnsi="Times New Roman" w:eastAsia="宋体" w:cs="Times New Roman"/>
                <w:b/>
                <w:bCs/>
                <w:color w:val="auto"/>
                <w:kern w:val="2"/>
                <w:sz w:val="24"/>
                <w:szCs w:val="24"/>
                <w:highlight w:val="none"/>
                <w:lang w:val="en-US" w:eastAsia="zh-CN" w:bidi="ar-SA"/>
              </w:rPr>
            </w:pPr>
          </w:p>
        </w:tc>
        <w:tc>
          <w:tcPr>
            <w:tcW w:w="1755" w:type="dxa"/>
            <w:shd w:val="solid" w:color="FFFFFF" w:fill="auto"/>
            <w:noWrap w:val="0"/>
            <w:vAlign w:val="center"/>
          </w:tcPr>
          <w:p w14:paraId="270B213D">
            <w:pPr>
              <w:shd w:val="solid" w:color="FFFFFF" w:fill="auto"/>
              <w:autoSpaceDN w:val="0"/>
              <w:jc w:val="right"/>
              <w:textAlignment w:val="center"/>
              <w:rPr>
                <w:rFonts w:hint="default" w:ascii="Times New Roman" w:hAnsi="Times New Roman" w:eastAsia="宋体" w:cs="Times New Roman"/>
                <w:b/>
                <w:bCs/>
                <w:color w:val="auto"/>
                <w:kern w:val="2"/>
                <w:sz w:val="24"/>
                <w:szCs w:val="24"/>
                <w:highlight w:val="none"/>
                <w:lang w:val="en-US" w:eastAsia="zh-CN" w:bidi="ar-SA"/>
              </w:rPr>
            </w:pPr>
            <w:r>
              <w:rPr>
                <w:rFonts w:hint="default" w:ascii="Times New Roman" w:hAnsi="Times New Roman" w:eastAsia="宋体" w:cs="Times New Roman"/>
                <w:b/>
                <w:bCs/>
                <w:color w:val="auto"/>
                <w:szCs w:val="24"/>
                <w:highlight w:val="none"/>
                <w:lang w:val="en-US" w:eastAsia="zh-CN"/>
              </w:rPr>
              <w:t>326</w:t>
            </w:r>
            <w:r>
              <w:rPr>
                <w:rFonts w:hint="eastAsia" w:ascii="Times New Roman" w:hAnsi="Times New Roman" w:eastAsia="宋体" w:cs="Times New Roman"/>
                <w:b/>
                <w:bCs/>
                <w:color w:val="auto"/>
                <w:szCs w:val="24"/>
                <w:highlight w:val="none"/>
                <w:lang w:val="en-US" w:eastAsia="zh-CN"/>
              </w:rPr>
              <w:t>,</w:t>
            </w:r>
            <w:r>
              <w:rPr>
                <w:rFonts w:hint="default" w:ascii="Times New Roman" w:hAnsi="Times New Roman" w:eastAsia="宋体" w:cs="Times New Roman"/>
                <w:b/>
                <w:bCs/>
                <w:color w:val="auto"/>
                <w:szCs w:val="24"/>
                <w:highlight w:val="none"/>
                <w:lang w:val="en-US" w:eastAsia="zh-CN"/>
              </w:rPr>
              <w:t>9</w:t>
            </w:r>
            <w:r>
              <w:rPr>
                <w:rFonts w:hint="eastAsia" w:ascii="Times New Roman" w:hAnsi="Times New Roman" w:eastAsia="宋体" w:cs="Times New Roman"/>
                <w:b/>
                <w:bCs/>
                <w:color w:val="auto"/>
                <w:szCs w:val="24"/>
                <w:highlight w:val="none"/>
                <w:lang w:val="en-US" w:eastAsia="zh-CN"/>
              </w:rPr>
              <w:t>43.73</w:t>
            </w:r>
          </w:p>
        </w:tc>
        <w:tc>
          <w:tcPr>
            <w:tcW w:w="1559" w:type="dxa"/>
            <w:shd w:val="solid" w:color="FFFFFF" w:fill="auto"/>
            <w:noWrap w:val="0"/>
            <w:vAlign w:val="center"/>
          </w:tcPr>
          <w:p w14:paraId="3A44452D">
            <w:pPr>
              <w:shd w:val="solid" w:color="FFFFFF" w:fill="auto"/>
              <w:autoSpaceDN w:val="0"/>
              <w:jc w:val="center"/>
              <w:textAlignment w:val="center"/>
              <w:rPr>
                <w:rFonts w:hint="eastAsia" w:ascii="Times New Roman" w:hAnsi="Times New Roman" w:eastAsia="宋体" w:cs="Times New Roman"/>
                <w:b/>
                <w:bCs/>
                <w:color w:val="auto"/>
                <w:kern w:val="2"/>
                <w:sz w:val="24"/>
                <w:szCs w:val="24"/>
                <w:highlight w:val="none"/>
                <w:lang w:val="en-US" w:eastAsia="zh-CN" w:bidi="ar-SA"/>
              </w:rPr>
            </w:pPr>
          </w:p>
        </w:tc>
        <w:tc>
          <w:tcPr>
            <w:tcW w:w="1559" w:type="dxa"/>
            <w:shd w:val="solid" w:color="FFFFFF" w:fill="auto"/>
            <w:noWrap w:val="0"/>
            <w:vAlign w:val="center"/>
          </w:tcPr>
          <w:p w14:paraId="0F672EB2">
            <w:pPr>
              <w:shd w:val="solid" w:color="FFFFFF" w:fill="auto"/>
              <w:autoSpaceDN w:val="0"/>
              <w:jc w:val="right"/>
              <w:textAlignment w:val="center"/>
              <w:rPr>
                <w:rFonts w:hint="eastAsia" w:ascii="Times New Roman" w:hAnsi="Times New Roman" w:eastAsia="宋体" w:cs="Times New Roman"/>
                <w:b/>
                <w:bCs/>
                <w:color w:val="auto"/>
                <w:kern w:val="2"/>
                <w:sz w:val="24"/>
                <w:szCs w:val="24"/>
                <w:highlight w:val="none"/>
                <w:lang w:val="en-US" w:eastAsia="zh-CN" w:bidi="ar-SA"/>
              </w:rPr>
            </w:pPr>
          </w:p>
        </w:tc>
        <w:tc>
          <w:tcPr>
            <w:tcW w:w="1783" w:type="dxa"/>
            <w:shd w:val="solid" w:color="FFFFFF" w:fill="auto"/>
            <w:noWrap w:val="0"/>
            <w:vAlign w:val="center"/>
          </w:tcPr>
          <w:p w14:paraId="054BC5D2">
            <w:pPr>
              <w:shd w:val="solid" w:color="FFFFFF" w:fill="auto"/>
              <w:autoSpaceDN w:val="0"/>
              <w:jc w:val="right"/>
              <w:textAlignment w:val="center"/>
              <w:rPr>
                <w:rFonts w:hint="default" w:ascii="Times New Roman" w:hAnsi="Times New Roman" w:eastAsia="宋体" w:cs="Times New Roman"/>
                <w:b/>
                <w:bCs/>
                <w:color w:val="auto"/>
                <w:kern w:val="2"/>
                <w:sz w:val="24"/>
                <w:szCs w:val="24"/>
                <w:highlight w:val="none"/>
                <w:lang w:val="en-US" w:eastAsia="zh-CN" w:bidi="ar-SA"/>
              </w:rPr>
            </w:pPr>
            <w:r>
              <w:rPr>
                <w:rFonts w:hint="default" w:ascii="Times New Roman" w:hAnsi="Times New Roman" w:eastAsia="宋体" w:cs="Times New Roman"/>
                <w:b/>
                <w:bCs/>
                <w:color w:val="auto"/>
                <w:szCs w:val="24"/>
                <w:highlight w:val="none"/>
                <w:lang w:val="en-US" w:eastAsia="zh-CN"/>
              </w:rPr>
              <w:t>1</w:t>
            </w:r>
            <w:r>
              <w:rPr>
                <w:rFonts w:hint="eastAsia" w:ascii="Times New Roman" w:hAnsi="Times New Roman" w:eastAsia="宋体" w:cs="Times New Roman"/>
                <w:b/>
                <w:bCs/>
                <w:color w:val="auto"/>
                <w:szCs w:val="24"/>
                <w:highlight w:val="none"/>
                <w:lang w:val="en-US" w:eastAsia="zh-CN"/>
              </w:rPr>
              <w:t>4,</w:t>
            </w:r>
            <w:r>
              <w:rPr>
                <w:rFonts w:hint="default" w:ascii="Times New Roman" w:hAnsi="Times New Roman" w:eastAsia="宋体" w:cs="Times New Roman"/>
                <w:b/>
                <w:bCs/>
                <w:color w:val="auto"/>
                <w:szCs w:val="24"/>
                <w:highlight w:val="none"/>
                <w:lang w:val="en-US" w:eastAsia="zh-CN"/>
              </w:rPr>
              <w:t>477</w:t>
            </w:r>
          </w:p>
        </w:tc>
      </w:tr>
    </w:tbl>
    <w:p w14:paraId="4EF4A694">
      <w:pPr>
        <w:keepNext w:val="0"/>
        <w:keepLines w:val="0"/>
        <w:pageBreakBefore w:val="0"/>
        <w:widowControl w:val="0"/>
        <w:numPr>
          <w:ilvl w:val="0"/>
          <w:numId w:val="2"/>
        </w:numPr>
        <w:tabs>
          <w:tab w:val="left" w:pos="0"/>
          <w:tab w:val="left" w:pos="4680"/>
        </w:tabs>
        <w:kinsoku/>
        <w:wordWrap/>
        <w:overflowPunct/>
        <w:topLinePunct w:val="0"/>
        <w:autoSpaceDE/>
        <w:autoSpaceDN/>
        <w:bidi w:val="0"/>
        <w:adjustRightInd/>
        <w:snapToGrid/>
        <w:spacing w:before="313" w:beforeLines="100" w:after="156" w:afterLines="50" w:line="360" w:lineRule="auto"/>
        <w:ind w:firstLine="480" w:firstLineChars="200"/>
        <w:textAlignment w:val="auto"/>
        <w:rPr>
          <w:rFonts w:ascii="Times New Roman" w:hAnsi="Times New Roman" w:eastAsia="宋体"/>
          <w:szCs w:val="24"/>
          <w:highlight w:val="none"/>
        </w:rPr>
      </w:pPr>
      <w:r>
        <w:rPr>
          <w:rFonts w:hint="eastAsia" w:ascii="Times New Roman" w:hAnsi="Times New Roman" w:eastAsia="宋体"/>
          <w:szCs w:val="24"/>
          <w:highlight w:val="none"/>
          <w:lang w:eastAsia="zh-Hans"/>
        </w:rPr>
        <w:t>深</w:t>
      </w:r>
      <w:r>
        <w:rPr>
          <w:rFonts w:ascii="Times New Roman" w:hAnsi="Times New Roman" w:eastAsia="宋体"/>
          <w:szCs w:val="24"/>
          <w:highlight w:val="none"/>
        </w:rPr>
        <w:t>市主板IPO发行公司情况</w:t>
      </w:r>
    </w:p>
    <w:tbl>
      <w:tblPr>
        <w:tblStyle w:val="7"/>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394"/>
        <w:gridCol w:w="1755"/>
        <w:gridCol w:w="1559"/>
        <w:gridCol w:w="1559"/>
        <w:gridCol w:w="1783"/>
      </w:tblGrid>
      <w:tr w14:paraId="41B0B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blHeader/>
          <w:jc w:val="center"/>
        </w:trPr>
        <w:tc>
          <w:tcPr>
            <w:tcW w:w="1238" w:type="dxa"/>
            <w:shd w:val="solid" w:color="C0C0C0" w:fill="auto"/>
            <w:noWrap w:val="0"/>
            <w:vAlign w:val="center"/>
          </w:tcPr>
          <w:p w14:paraId="3ABD84FA">
            <w:pPr>
              <w:shd w:val="solid" w:color="C0C0C0" w:fill="auto"/>
              <w:autoSpaceDN w:val="0"/>
              <w:jc w:val="center"/>
              <w:textAlignment w:val="center"/>
              <w:rPr>
                <w:rFonts w:ascii="Times New Roman" w:hAnsi="Times New Roman" w:eastAsia="宋体"/>
                <w:b/>
                <w:bCs/>
                <w:color w:val="auto"/>
                <w:szCs w:val="24"/>
                <w:highlight w:val="none"/>
              </w:rPr>
            </w:pPr>
            <w:r>
              <w:rPr>
                <w:rFonts w:ascii="Times New Roman" w:hAnsi="Times New Roman" w:eastAsia="宋体"/>
                <w:b/>
                <w:color w:val="auto"/>
                <w:szCs w:val="24"/>
                <w:highlight w:val="none"/>
                <w:shd w:val="clear" w:color="auto" w:fill="C0C0C0"/>
              </w:rPr>
              <w:t>代码</w:t>
            </w:r>
          </w:p>
        </w:tc>
        <w:tc>
          <w:tcPr>
            <w:tcW w:w="1394" w:type="dxa"/>
            <w:shd w:val="solid" w:color="C0C0C0" w:fill="auto"/>
            <w:noWrap w:val="0"/>
            <w:vAlign w:val="center"/>
          </w:tcPr>
          <w:p w14:paraId="1B248C89">
            <w:pPr>
              <w:shd w:val="solid" w:color="C0C0C0" w:fill="auto"/>
              <w:autoSpaceDN w:val="0"/>
              <w:jc w:val="center"/>
              <w:textAlignment w:val="center"/>
              <w:rPr>
                <w:rFonts w:ascii="Times New Roman" w:hAnsi="Times New Roman" w:eastAsia="宋体"/>
                <w:b/>
                <w:bCs/>
                <w:color w:val="auto"/>
                <w:szCs w:val="24"/>
                <w:highlight w:val="none"/>
              </w:rPr>
            </w:pPr>
            <w:r>
              <w:rPr>
                <w:rFonts w:ascii="Times New Roman" w:hAnsi="Times New Roman" w:eastAsia="宋体"/>
                <w:b/>
                <w:color w:val="auto"/>
                <w:szCs w:val="24"/>
                <w:highlight w:val="none"/>
                <w:shd w:val="clear" w:color="auto" w:fill="C0C0C0"/>
              </w:rPr>
              <w:t>股票简称</w:t>
            </w:r>
          </w:p>
        </w:tc>
        <w:tc>
          <w:tcPr>
            <w:tcW w:w="1755" w:type="dxa"/>
            <w:shd w:val="solid" w:color="C0C0C0" w:fill="auto"/>
            <w:noWrap w:val="0"/>
            <w:vAlign w:val="center"/>
          </w:tcPr>
          <w:p w14:paraId="54C6DD18">
            <w:pPr>
              <w:shd w:val="solid" w:color="C0C0C0" w:fill="auto"/>
              <w:autoSpaceDN w:val="0"/>
              <w:jc w:val="center"/>
              <w:textAlignment w:val="center"/>
              <w:rPr>
                <w:rFonts w:hint="eastAsia" w:ascii="Times New Roman" w:hAnsi="Times New Roman" w:eastAsia="宋体"/>
                <w:b/>
                <w:bCs/>
                <w:color w:val="auto"/>
                <w:szCs w:val="24"/>
                <w:highlight w:val="none"/>
              </w:rPr>
            </w:pPr>
            <w:r>
              <w:rPr>
                <w:rFonts w:ascii="Times New Roman" w:hAnsi="Times New Roman" w:eastAsia="宋体"/>
                <w:b/>
                <w:color w:val="auto"/>
                <w:szCs w:val="24"/>
                <w:highlight w:val="none"/>
                <w:shd w:val="clear" w:color="auto" w:fill="C0C0C0"/>
              </w:rPr>
              <w:t>募集资金总额</w:t>
            </w:r>
            <w:r>
              <w:rPr>
                <w:rFonts w:hint="eastAsia" w:ascii="Times New Roman" w:hAnsi="Times New Roman" w:eastAsia="宋体"/>
                <w:b/>
                <w:color w:val="auto"/>
                <w:szCs w:val="24"/>
                <w:highlight w:val="none"/>
                <w:shd w:val="clear" w:color="auto" w:fill="C0C0C0"/>
              </w:rPr>
              <w:t>（万元）</w:t>
            </w:r>
          </w:p>
        </w:tc>
        <w:tc>
          <w:tcPr>
            <w:tcW w:w="1559" w:type="dxa"/>
            <w:shd w:val="solid" w:color="C0C0C0" w:fill="auto"/>
            <w:noWrap w:val="0"/>
            <w:vAlign w:val="center"/>
          </w:tcPr>
          <w:p w14:paraId="11BAF541">
            <w:pPr>
              <w:shd w:val="solid" w:color="C0C0C0" w:fill="auto"/>
              <w:autoSpaceDN w:val="0"/>
              <w:jc w:val="center"/>
              <w:textAlignment w:val="center"/>
              <w:rPr>
                <w:rFonts w:ascii="Times New Roman" w:hAnsi="Times New Roman" w:eastAsia="宋体"/>
                <w:b/>
                <w:bCs/>
                <w:color w:val="auto"/>
                <w:szCs w:val="24"/>
                <w:highlight w:val="none"/>
              </w:rPr>
            </w:pPr>
            <w:r>
              <w:rPr>
                <w:rFonts w:ascii="Times New Roman" w:hAnsi="Times New Roman" w:eastAsia="宋体"/>
                <w:b/>
                <w:color w:val="auto"/>
                <w:szCs w:val="24"/>
                <w:highlight w:val="none"/>
                <w:shd w:val="clear" w:color="auto" w:fill="C0C0C0"/>
              </w:rPr>
              <w:t>上市日期</w:t>
            </w:r>
          </w:p>
        </w:tc>
        <w:tc>
          <w:tcPr>
            <w:tcW w:w="1559" w:type="dxa"/>
            <w:shd w:val="solid" w:color="C0C0C0" w:fill="auto"/>
            <w:noWrap w:val="0"/>
            <w:vAlign w:val="center"/>
          </w:tcPr>
          <w:p w14:paraId="5159D212">
            <w:pPr>
              <w:shd w:val="solid" w:color="C0C0C0" w:fill="auto"/>
              <w:autoSpaceDN w:val="0"/>
              <w:jc w:val="center"/>
              <w:textAlignment w:val="center"/>
              <w:rPr>
                <w:rFonts w:hint="eastAsia" w:ascii="Times New Roman" w:hAnsi="Times New Roman" w:eastAsia="宋体"/>
                <w:b/>
                <w:bCs/>
                <w:color w:val="auto"/>
                <w:szCs w:val="24"/>
                <w:highlight w:val="none"/>
              </w:rPr>
            </w:pPr>
            <w:r>
              <w:rPr>
                <w:rFonts w:ascii="Times New Roman" w:hAnsi="Times New Roman" w:eastAsia="宋体"/>
                <w:b/>
                <w:color w:val="auto"/>
                <w:szCs w:val="24"/>
                <w:highlight w:val="none"/>
                <w:shd w:val="clear" w:color="auto" w:fill="C0C0C0"/>
              </w:rPr>
              <w:t>发行价</w:t>
            </w:r>
            <w:r>
              <w:rPr>
                <w:rFonts w:hint="eastAsia" w:ascii="Times New Roman" w:hAnsi="Times New Roman" w:eastAsia="宋体"/>
                <w:b/>
                <w:color w:val="auto"/>
                <w:szCs w:val="24"/>
                <w:highlight w:val="none"/>
                <w:shd w:val="clear" w:color="auto" w:fill="C0C0C0"/>
              </w:rPr>
              <w:t>（元）</w:t>
            </w:r>
          </w:p>
        </w:tc>
        <w:tc>
          <w:tcPr>
            <w:tcW w:w="1783" w:type="dxa"/>
            <w:shd w:val="solid" w:color="C0C0C0" w:fill="auto"/>
            <w:noWrap w:val="0"/>
            <w:vAlign w:val="center"/>
          </w:tcPr>
          <w:p w14:paraId="2D370BC0">
            <w:pPr>
              <w:shd w:val="solid" w:color="C0C0C0" w:fill="auto"/>
              <w:autoSpaceDN w:val="0"/>
              <w:jc w:val="center"/>
              <w:textAlignment w:val="center"/>
              <w:rPr>
                <w:rFonts w:ascii="Times New Roman" w:hAnsi="Times New Roman" w:eastAsia="宋体"/>
                <w:b/>
                <w:bCs/>
                <w:color w:val="auto"/>
                <w:szCs w:val="24"/>
                <w:highlight w:val="none"/>
              </w:rPr>
            </w:pPr>
            <w:r>
              <w:rPr>
                <w:rFonts w:ascii="Times New Roman" w:hAnsi="Times New Roman" w:eastAsia="宋体"/>
                <w:b/>
                <w:color w:val="auto"/>
                <w:szCs w:val="24"/>
                <w:highlight w:val="none"/>
                <w:shd w:val="clear" w:color="auto" w:fill="C0C0C0"/>
              </w:rPr>
              <w:t>发行量</w:t>
            </w:r>
            <w:r>
              <w:rPr>
                <w:rFonts w:hint="eastAsia" w:ascii="Times New Roman" w:hAnsi="Times New Roman" w:eastAsia="宋体"/>
                <w:b/>
                <w:color w:val="auto"/>
                <w:szCs w:val="24"/>
                <w:highlight w:val="none"/>
                <w:shd w:val="clear" w:color="auto" w:fill="C0C0C0"/>
              </w:rPr>
              <w:t>（万股）</w:t>
            </w:r>
          </w:p>
        </w:tc>
      </w:tr>
      <w:tr w14:paraId="31115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solid" w:color="FFFFFF" w:fill="auto"/>
            <w:noWrap w:val="0"/>
            <w:vAlign w:val="center"/>
          </w:tcPr>
          <w:p w14:paraId="4CA640E9">
            <w:pPr>
              <w:shd w:val="solid" w:color="FFFFFF" w:fill="auto"/>
              <w:autoSpaceDN w:val="0"/>
              <w:jc w:val="center"/>
              <w:textAlignment w:val="center"/>
              <w:rPr>
                <w:rFonts w:hint="default" w:ascii="Times New Roman" w:hAnsi="Times New Roman" w:eastAsia="宋体" w:cs="Times New Roman"/>
                <w:color w:val="auto"/>
                <w:szCs w:val="24"/>
                <w:highlight w:val="none"/>
                <w:lang w:val="en-US" w:eastAsia="zh-CN"/>
              </w:rPr>
            </w:pPr>
            <w:r>
              <w:rPr>
                <w:rFonts w:hint="eastAsia" w:ascii="Times New Roman" w:hAnsi="Times New Roman" w:eastAsia="宋体" w:cs="Times New Roman"/>
                <w:color w:val="auto"/>
                <w:szCs w:val="24"/>
                <w:highlight w:val="none"/>
                <w:lang w:val="en-US" w:eastAsia="zh-CN"/>
              </w:rPr>
              <w:t>00</w:t>
            </w:r>
            <w:r>
              <w:rPr>
                <w:rFonts w:hint="default" w:ascii="Times New Roman" w:hAnsi="Times New Roman" w:eastAsia="宋体" w:cs="Times New Roman"/>
                <w:color w:val="auto"/>
                <w:szCs w:val="24"/>
                <w:highlight w:val="none"/>
                <w:lang w:val="en-US" w:eastAsia="zh-CN"/>
              </w:rPr>
              <w:t>1312</w:t>
            </w:r>
          </w:p>
        </w:tc>
        <w:tc>
          <w:tcPr>
            <w:tcW w:w="1394" w:type="dxa"/>
            <w:shd w:val="solid" w:color="FFFFFF" w:fill="auto"/>
            <w:noWrap w:val="0"/>
            <w:vAlign w:val="center"/>
          </w:tcPr>
          <w:p w14:paraId="7CEBA392">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福恩股份</w:t>
            </w:r>
          </w:p>
        </w:tc>
        <w:tc>
          <w:tcPr>
            <w:tcW w:w="1755" w:type="dxa"/>
            <w:shd w:val="solid" w:color="FFFFFF" w:fill="auto"/>
            <w:noWrap w:val="0"/>
            <w:vAlign w:val="center"/>
          </w:tcPr>
          <w:p w14:paraId="09311702">
            <w:pPr>
              <w:shd w:val="solid" w:color="FFFFFF" w:fill="auto"/>
              <w:autoSpaceDN w:val="0"/>
              <w:jc w:val="right"/>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107,21</w:t>
            </w:r>
            <w:r>
              <w:rPr>
                <w:rFonts w:hint="eastAsia" w:ascii="Times New Roman" w:hAnsi="Times New Roman" w:eastAsia="宋体" w:cs="Times New Roman"/>
                <w:color w:val="auto"/>
                <w:szCs w:val="24"/>
                <w:highlight w:val="none"/>
                <w:lang w:val="en-US" w:eastAsia="zh-CN"/>
              </w:rPr>
              <w:t>0</w:t>
            </w:r>
            <w:r>
              <w:rPr>
                <w:rFonts w:hint="default" w:ascii="Times New Roman" w:hAnsi="Times New Roman" w:eastAsia="宋体" w:cs="Times New Roman"/>
                <w:color w:val="auto"/>
                <w:szCs w:val="24"/>
                <w:highlight w:val="none"/>
                <w:lang w:val="en-US" w:eastAsia="zh-CN"/>
              </w:rPr>
              <w:t>.</w:t>
            </w:r>
            <w:r>
              <w:rPr>
                <w:rFonts w:hint="eastAsia" w:ascii="Times New Roman" w:hAnsi="Times New Roman" w:eastAsia="宋体" w:cs="Times New Roman"/>
                <w:color w:val="auto"/>
                <w:szCs w:val="24"/>
                <w:highlight w:val="none"/>
                <w:lang w:val="en-US" w:eastAsia="zh-CN"/>
              </w:rPr>
              <w:t>54</w:t>
            </w:r>
            <w:r>
              <w:rPr>
                <w:rFonts w:hint="default" w:ascii="Times New Roman" w:hAnsi="Times New Roman" w:eastAsia="宋体" w:cs="Times New Roman"/>
                <w:color w:val="auto"/>
                <w:szCs w:val="24"/>
                <w:highlight w:val="none"/>
                <w:lang w:val="en-US" w:eastAsia="zh-CN"/>
              </w:rPr>
              <w:t xml:space="preserve"> </w:t>
            </w:r>
          </w:p>
        </w:tc>
        <w:tc>
          <w:tcPr>
            <w:tcW w:w="1559" w:type="dxa"/>
            <w:shd w:val="solid" w:color="FFFFFF" w:fill="auto"/>
            <w:noWrap w:val="0"/>
            <w:vAlign w:val="center"/>
          </w:tcPr>
          <w:p w14:paraId="6FCF502C">
            <w:pPr>
              <w:shd w:val="solid" w:color="FFFFFF" w:fill="auto"/>
              <w:autoSpaceDN w:val="0"/>
              <w:jc w:val="center"/>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2026-04-21</w:t>
            </w:r>
          </w:p>
        </w:tc>
        <w:tc>
          <w:tcPr>
            <w:tcW w:w="1559" w:type="dxa"/>
            <w:shd w:val="solid" w:color="FFFFFF" w:fill="auto"/>
            <w:noWrap w:val="0"/>
            <w:vAlign w:val="center"/>
          </w:tcPr>
          <w:p w14:paraId="27D38DE5">
            <w:pPr>
              <w:shd w:val="solid" w:color="FFFFFF" w:fill="auto"/>
              <w:autoSpaceDN w:val="0"/>
              <w:jc w:val="right"/>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18.38</w:t>
            </w:r>
          </w:p>
        </w:tc>
        <w:tc>
          <w:tcPr>
            <w:tcW w:w="1783" w:type="dxa"/>
            <w:shd w:val="solid" w:color="FFFFFF" w:fill="auto"/>
            <w:noWrap w:val="0"/>
            <w:vAlign w:val="center"/>
          </w:tcPr>
          <w:p w14:paraId="029B1E60">
            <w:pPr>
              <w:shd w:val="solid" w:color="FFFFFF" w:fill="auto"/>
              <w:autoSpaceDN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 xml:space="preserve">5,833 </w:t>
            </w:r>
          </w:p>
        </w:tc>
      </w:tr>
      <w:tr w14:paraId="342AC0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solid" w:color="FFFFFF" w:fill="auto"/>
            <w:noWrap w:val="0"/>
            <w:vAlign w:val="center"/>
          </w:tcPr>
          <w:p w14:paraId="27AD3ACF">
            <w:pPr>
              <w:shd w:val="solid" w:color="FFFFFF" w:fill="auto"/>
              <w:autoSpaceDN w:val="0"/>
              <w:jc w:val="center"/>
              <w:textAlignment w:val="center"/>
              <w:rPr>
                <w:rFonts w:hint="eastAsia" w:ascii="Times New Roman" w:hAnsi="Times New Roman" w:eastAsia="宋体" w:cs="Times New Roman"/>
                <w:b/>
                <w:bCs/>
                <w:color w:val="auto"/>
                <w:szCs w:val="24"/>
                <w:highlight w:val="none"/>
                <w:lang w:val="en-US" w:eastAsia="zh-CN"/>
              </w:rPr>
            </w:pPr>
            <w:r>
              <w:rPr>
                <w:rFonts w:ascii="Times New Roman" w:hAnsi="Times New Roman" w:eastAsia="宋体"/>
                <w:b/>
                <w:bCs/>
                <w:color w:val="auto"/>
                <w:szCs w:val="24"/>
                <w:highlight w:val="none"/>
                <w:lang w:eastAsia="zh-Hans"/>
              </w:rPr>
              <w:t>总计</w:t>
            </w:r>
          </w:p>
        </w:tc>
        <w:tc>
          <w:tcPr>
            <w:tcW w:w="1394" w:type="dxa"/>
            <w:shd w:val="solid" w:color="FFFFFF" w:fill="auto"/>
            <w:noWrap w:val="0"/>
            <w:vAlign w:val="center"/>
          </w:tcPr>
          <w:p w14:paraId="333E7B61">
            <w:pPr>
              <w:shd w:val="solid" w:color="FFFFFF" w:fill="auto"/>
              <w:autoSpaceDN w:val="0"/>
              <w:jc w:val="center"/>
              <w:textAlignment w:val="center"/>
              <w:rPr>
                <w:rFonts w:hint="eastAsia" w:ascii="Times New Roman" w:hAnsi="Times New Roman" w:eastAsia="宋体" w:cs="Times New Roman"/>
                <w:b/>
                <w:bCs/>
                <w:color w:val="auto"/>
                <w:szCs w:val="24"/>
                <w:highlight w:val="none"/>
                <w:lang w:val="en-US" w:eastAsia="zh-CN"/>
              </w:rPr>
            </w:pPr>
          </w:p>
        </w:tc>
        <w:tc>
          <w:tcPr>
            <w:tcW w:w="1755" w:type="dxa"/>
            <w:shd w:val="solid" w:color="FFFFFF" w:fill="auto"/>
            <w:noWrap w:val="0"/>
            <w:vAlign w:val="center"/>
          </w:tcPr>
          <w:p w14:paraId="4F77B342">
            <w:pPr>
              <w:shd w:val="solid" w:color="FFFFFF" w:fill="auto"/>
              <w:autoSpaceDN w:val="0"/>
              <w:jc w:val="right"/>
              <w:textAlignment w:val="center"/>
              <w:rPr>
                <w:rFonts w:hint="eastAsia" w:ascii="Times New Roman" w:hAnsi="Times New Roman" w:eastAsia="宋体" w:cs="Times New Roman"/>
                <w:b/>
                <w:bCs/>
                <w:color w:val="auto"/>
                <w:szCs w:val="24"/>
                <w:highlight w:val="none"/>
                <w:lang w:val="en-US" w:eastAsia="zh-CN"/>
              </w:rPr>
            </w:pPr>
            <w:r>
              <w:rPr>
                <w:rFonts w:hint="eastAsia" w:ascii="Times New Roman" w:hAnsi="Times New Roman" w:eastAsia="宋体" w:cs="Times New Roman"/>
                <w:b/>
                <w:bCs/>
                <w:color w:val="auto"/>
                <w:szCs w:val="24"/>
                <w:highlight w:val="none"/>
                <w:lang w:val="en-US" w:eastAsia="zh-CN"/>
              </w:rPr>
              <w:t>107,210.54</w:t>
            </w:r>
          </w:p>
        </w:tc>
        <w:tc>
          <w:tcPr>
            <w:tcW w:w="1559" w:type="dxa"/>
            <w:shd w:val="solid" w:color="FFFFFF" w:fill="auto"/>
            <w:noWrap w:val="0"/>
            <w:vAlign w:val="center"/>
          </w:tcPr>
          <w:p w14:paraId="544A8959">
            <w:pPr>
              <w:shd w:val="solid" w:color="FFFFFF" w:fill="auto"/>
              <w:autoSpaceDN w:val="0"/>
              <w:jc w:val="center"/>
              <w:textAlignment w:val="center"/>
              <w:rPr>
                <w:rFonts w:hint="eastAsia" w:ascii="Times New Roman" w:hAnsi="Times New Roman" w:eastAsia="宋体" w:cs="Times New Roman"/>
                <w:b/>
                <w:bCs/>
                <w:color w:val="auto"/>
                <w:szCs w:val="24"/>
                <w:highlight w:val="none"/>
                <w:lang w:val="en-US" w:eastAsia="zh-CN"/>
              </w:rPr>
            </w:pPr>
          </w:p>
        </w:tc>
        <w:tc>
          <w:tcPr>
            <w:tcW w:w="1559" w:type="dxa"/>
            <w:shd w:val="solid" w:color="FFFFFF" w:fill="auto"/>
            <w:noWrap w:val="0"/>
            <w:vAlign w:val="center"/>
          </w:tcPr>
          <w:p w14:paraId="730D90DF">
            <w:pPr>
              <w:shd w:val="solid" w:color="FFFFFF" w:fill="auto"/>
              <w:autoSpaceDN w:val="0"/>
              <w:jc w:val="right"/>
              <w:textAlignment w:val="center"/>
              <w:rPr>
                <w:rFonts w:hint="eastAsia" w:ascii="Times New Roman" w:hAnsi="Times New Roman" w:eastAsia="宋体" w:cs="Times New Roman"/>
                <w:b/>
                <w:bCs/>
                <w:color w:val="auto"/>
                <w:szCs w:val="24"/>
                <w:highlight w:val="none"/>
                <w:lang w:val="en-US" w:eastAsia="zh-CN"/>
              </w:rPr>
            </w:pPr>
          </w:p>
        </w:tc>
        <w:tc>
          <w:tcPr>
            <w:tcW w:w="1783" w:type="dxa"/>
            <w:shd w:val="solid" w:color="FFFFFF" w:fill="auto"/>
            <w:noWrap w:val="0"/>
            <w:vAlign w:val="center"/>
          </w:tcPr>
          <w:p w14:paraId="3B06C730">
            <w:pPr>
              <w:shd w:val="solid" w:color="FFFFFF" w:fill="auto"/>
              <w:autoSpaceDN w:val="0"/>
              <w:jc w:val="right"/>
              <w:textAlignment w:val="center"/>
              <w:rPr>
                <w:rFonts w:hint="eastAsia" w:ascii="Times New Roman" w:hAnsi="Times New Roman" w:eastAsia="宋体" w:cs="Times New Roman"/>
                <w:b/>
                <w:bCs/>
                <w:color w:val="auto"/>
                <w:szCs w:val="24"/>
                <w:highlight w:val="none"/>
                <w:lang w:val="en-US" w:eastAsia="zh-CN"/>
              </w:rPr>
            </w:pPr>
            <w:r>
              <w:rPr>
                <w:rFonts w:hint="eastAsia" w:ascii="Times New Roman" w:hAnsi="Times New Roman" w:eastAsia="宋体" w:cs="Times New Roman"/>
                <w:b/>
                <w:bCs/>
                <w:color w:val="auto"/>
                <w:szCs w:val="24"/>
                <w:highlight w:val="none"/>
                <w:lang w:val="en-US" w:eastAsia="zh-CN"/>
              </w:rPr>
              <w:t>5,833</w:t>
            </w:r>
          </w:p>
        </w:tc>
      </w:tr>
    </w:tbl>
    <w:p w14:paraId="476BBDE8">
      <w:pPr>
        <w:keepNext w:val="0"/>
        <w:keepLines w:val="0"/>
        <w:pageBreakBefore w:val="0"/>
        <w:widowControl w:val="0"/>
        <w:numPr>
          <w:ilvl w:val="0"/>
          <w:numId w:val="2"/>
        </w:numPr>
        <w:tabs>
          <w:tab w:val="left" w:pos="0"/>
          <w:tab w:val="left" w:pos="4680"/>
        </w:tabs>
        <w:kinsoku/>
        <w:wordWrap/>
        <w:overflowPunct/>
        <w:topLinePunct w:val="0"/>
        <w:autoSpaceDE/>
        <w:autoSpaceDN/>
        <w:bidi w:val="0"/>
        <w:adjustRightInd/>
        <w:snapToGrid/>
        <w:spacing w:before="313" w:beforeLines="100" w:after="156" w:afterLines="50" w:line="360" w:lineRule="auto"/>
        <w:ind w:firstLine="480" w:firstLineChars="200"/>
        <w:textAlignment w:val="auto"/>
        <w:rPr>
          <w:rFonts w:hint="eastAsia" w:ascii="Times New Roman" w:hAnsi="Times New Roman" w:eastAsia="宋体" w:cs="Times New Roman"/>
          <w:szCs w:val="24"/>
          <w:highlight w:val="none"/>
          <w:lang w:eastAsia="zh-Hans"/>
        </w:rPr>
      </w:pPr>
      <w:r>
        <w:rPr>
          <w:rFonts w:hint="eastAsia" w:ascii="Times New Roman" w:hAnsi="Times New Roman" w:eastAsia="宋体" w:cs="Times New Roman"/>
          <w:szCs w:val="24"/>
          <w:highlight w:val="none"/>
          <w:lang w:eastAsia="zh-Hans"/>
        </w:rPr>
        <w:t>创业板IPO发行公司情况</w:t>
      </w:r>
    </w:p>
    <w:tbl>
      <w:tblPr>
        <w:tblStyle w:val="7"/>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394"/>
        <w:gridCol w:w="1755"/>
        <w:gridCol w:w="1559"/>
        <w:gridCol w:w="1559"/>
        <w:gridCol w:w="1783"/>
      </w:tblGrid>
      <w:tr w14:paraId="62B94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blHeader/>
          <w:jc w:val="center"/>
        </w:trPr>
        <w:tc>
          <w:tcPr>
            <w:tcW w:w="1238" w:type="dxa"/>
            <w:shd w:val="solid" w:color="C0C0C0" w:fill="auto"/>
            <w:noWrap w:val="0"/>
            <w:vAlign w:val="center"/>
          </w:tcPr>
          <w:p w14:paraId="3DBE5EB9">
            <w:pPr>
              <w:shd w:val="solid" w:color="C0C0C0" w:fill="auto"/>
              <w:autoSpaceDN w:val="0"/>
              <w:jc w:val="center"/>
              <w:textAlignment w:val="center"/>
              <w:rPr>
                <w:rFonts w:ascii="Times New Roman" w:hAnsi="Times New Roman" w:eastAsia="宋体"/>
                <w:b/>
                <w:bCs/>
                <w:color w:val="auto"/>
                <w:szCs w:val="24"/>
                <w:highlight w:val="none"/>
              </w:rPr>
            </w:pPr>
            <w:r>
              <w:rPr>
                <w:rFonts w:ascii="Times New Roman" w:hAnsi="Times New Roman" w:eastAsia="宋体"/>
                <w:b/>
                <w:color w:val="auto"/>
                <w:szCs w:val="24"/>
                <w:highlight w:val="none"/>
                <w:shd w:val="clear" w:color="auto" w:fill="C0C0C0"/>
              </w:rPr>
              <w:t>代码</w:t>
            </w:r>
          </w:p>
        </w:tc>
        <w:tc>
          <w:tcPr>
            <w:tcW w:w="1394" w:type="dxa"/>
            <w:shd w:val="solid" w:color="C0C0C0" w:fill="auto"/>
            <w:noWrap w:val="0"/>
            <w:vAlign w:val="center"/>
          </w:tcPr>
          <w:p w14:paraId="6C3BB69F">
            <w:pPr>
              <w:shd w:val="solid" w:color="C0C0C0" w:fill="auto"/>
              <w:autoSpaceDN w:val="0"/>
              <w:jc w:val="center"/>
              <w:textAlignment w:val="center"/>
              <w:rPr>
                <w:rFonts w:ascii="Times New Roman" w:hAnsi="Times New Roman" w:eastAsia="宋体"/>
                <w:b/>
                <w:bCs/>
                <w:color w:val="auto"/>
                <w:szCs w:val="24"/>
                <w:highlight w:val="none"/>
              </w:rPr>
            </w:pPr>
            <w:r>
              <w:rPr>
                <w:rFonts w:ascii="Times New Roman" w:hAnsi="Times New Roman" w:eastAsia="宋体"/>
                <w:b/>
                <w:color w:val="auto"/>
                <w:szCs w:val="24"/>
                <w:highlight w:val="none"/>
                <w:shd w:val="clear" w:color="auto" w:fill="C0C0C0"/>
              </w:rPr>
              <w:t>股票简称</w:t>
            </w:r>
          </w:p>
        </w:tc>
        <w:tc>
          <w:tcPr>
            <w:tcW w:w="1755" w:type="dxa"/>
            <w:shd w:val="solid" w:color="C0C0C0" w:fill="auto"/>
            <w:noWrap w:val="0"/>
            <w:vAlign w:val="center"/>
          </w:tcPr>
          <w:p w14:paraId="46B62EF1">
            <w:pPr>
              <w:shd w:val="solid" w:color="C0C0C0" w:fill="auto"/>
              <w:autoSpaceDN w:val="0"/>
              <w:jc w:val="center"/>
              <w:textAlignment w:val="center"/>
              <w:rPr>
                <w:rFonts w:hint="eastAsia" w:ascii="Times New Roman" w:hAnsi="Times New Roman" w:eastAsia="宋体"/>
                <w:b/>
                <w:bCs/>
                <w:color w:val="auto"/>
                <w:szCs w:val="24"/>
                <w:highlight w:val="none"/>
              </w:rPr>
            </w:pPr>
            <w:r>
              <w:rPr>
                <w:rFonts w:ascii="Times New Roman" w:hAnsi="Times New Roman" w:eastAsia="宋体"/>
                <w:b/>
                <w:color w:val="auto"/>
                <w:szCs w:val="24"/>
                <w:highlight w:val="none"/>
                <w:shd w:val="clear" w:color="auto" w:fill="C0C0C0"/>
              </w:rPr>
              <w:t>募集资金总额</w:t>
            </w:r>
            <w:r>
              <w:rPr>
                <w:rFonts w:hint="eastAsia" w:ascii="Times New Roman" w:hAnsi="Times New Roman" w:eastAsia="宋体"/>
                <w:b/>
                <w:color w:val="auto"/>
                <w:szCs w:val="24"/>
                <w:highlight w:val="none"/>
                <w:shd w:val="clear" w:color="auto" w:fill="C0C0C0"/>
              </w:rPr>
              <w:t>（万元）</w:t>
            </w:r>
          </w:p>
        </w:tc>
        <w:tc>
          <w:tcPr>
            <w:tcW w:w="1559" w:type="dxa"/>
            <w:shd w:val="solid" w:color="C0C0C0" w:fill="auto"/>
            <w:noWrap w:val="0"/>
            <w:vAlign w:val="center"/>
          </w:tcPr>
          <w:p w14:paraId="3FF1065A">
            <w:pPr>
              <w:shd w:val="solid" w:color="C0C0C0" w:fill="auto"/>
              <w:autoSpaceDN w:val="0"/>
              <w:jc w:val="center"/>
              <w:textAlignment w:val="center"/>
              <w:rPr>
                <w:rFonts w:ascii="Times New Roman" w:hAnsi="Times New Roman" w:eastAsia="宋体"/>
                <w:b/>
                <w:bCs/>
                <w:color w:val="auto"/>
                <w:szCs w:val="24"/>
                <w:highlight w:val="none"/>
              </w:rPr>
            </w:pPr>
            <w:r>
              <w:rPr>
                <w:rFonts w:ascii="Times New Roman" w:hAnsi="Times New Roman" w:eastAsia="宋体"/>
                <w:b/>
                <w:color w:val="auto"/>
                <w:szCs w:val="24"/>
                <w:highlight w:val="none"/>
                <w:shd w:val="clear" w:color="auto" w:fill="C0C0C0"/>
              </w:rPr>
              <w:t>上市日期</w:t>
            </w:r>
          </w:p>
        </w:tc>
        <w:tc>
          <w:tcPr>
            <w:tcW w:w="1559" w:type="dxa"/>
            <w:shd w:val="solid" w:color="C0C0C0" w:fill="auto"/>
            <w:noWrap w:val="0"/>
            <w:vAlign w:val="center"/>
          </w:tcPr>
          <w:p w14:paraId="65539E25">
            <w:pPr>
              <w:shd w:val="solid" w:color="C0C0C0" w:fill="auto"/>
              <w:autoSpaceDN w:val="0"/>
              <w:jc w:val="center"/>
              <w:textAlignment w:val="center"/>
              <w:rPr>
                <w:rFonts w:hint="eastAsia" w:ascii="Times New Roman" w:hAnsi="Times New Roman" w:eastAsia="宋体"/>
                <w:b/>
                <w:bCs/>
                <w:color w:val="auto"/>
                <w:szCs w:val="24"/>
                <w:highlight w:val="none"/>
              </w:rPr>
            </w:pPr>
            <w:r>
              <w:rPr>
                <w:rFonts w:ascii="Times New Roman" w:hAnsi="Times New Roman" w:eastAsia="宋体"/>
                <w:b/>
                <w:color w:val="auto"/>
                <w:szCs w:val="24"/>
                <w:highlight w:val="none"/>
                <w:shd w:val="clear" w:color="auto" w:fill="C0C0C0"/>
              </w:rPr>
              <w:t>发行价</w:t>
            </w:r>
            <w:r>
              <w:rPr>
                <w:rFonts w:hint="eastAsia" w:ascii="Times New Roman" w:hAnsi="Times New Roman" w:eastAsia="宋体"/>
                <w:b/>
                <w:color w:val="auto"/>
                <w:szCs w:val="24"/>
                <w:highlight w:val="none"/>
                <w:shd w:val="clear" w:color="auto" w:fill="C0C0C0"/>
              </w:rPr>
              <w:t>（元）</w:t>
            </w:r>
          </w:p>
        </w:tc>
        <w:tc>
          <w:tcPr>
            <w:tcW w:w="1783" w:type="dxa"/>
            <w:shd w:val="solid" w:color="C0C0C0" w:fill="auto"/>
            <w:noWrap w:val="0"/>
            <w:vAlign w:val="center"/>
          </w:tcPr>
          <w:p w14:paraId="07C12612">
            <w:pPr>
              <w:shd w:val="solid" w:color="C0C0C0" w:fill="auto"/>
              <w:autoSpaceDN w:val="0"/>
              <w:jc w:val="center"/>
              <w:textAlignment w:val="center"/>
              <w:rPr>
                <w:rFonts w:ascii="Times New Roman" w:hAnsi="Times New Roman" w:eastAsia="宋体"/>
                <w:b/>
                <w:bCs/>
                <w:color w:val="auto"/>
                <w:szCs w:val="24"/>
                <w:highlight w:val="none"/>
              </w:rPr>
            </w:pPr>
            <w:r>
              <w:rPr>
                <w:rFonts w:ascii="Times New Roman" w:hAnsi="Times New Roman" w:eastAsia="宋体"/>
                <w:b/>
                <w:color w:val="auto"/>
                <w:szCs w:val="24"/>
                <w:highlight w:val="none"/>
                <w:shd w:val="clear" w:color="auto" w:fill="C0C0C0"/>
              </w:rPr>
              <w:t>发行量</w:t>
            </w:r>
            <w:r>
              <w:rPr>
                <w:rFonts w:hint="eastAsia" w:ascii="Times New Roman" w:hAnsi="Times New Roman" w:eastAsia="宋体"/>
                <w:b/>
                <w:color w:val="auto"/>
                <w:szCs w:val="24"/>
                <w:highlight w:val="none"/>
                <w:shd w:val="clear" w:color="auto" w:fill="C0C0C0"/>
              </w:rPr>
              <w:t>（万股）</w:t>
            </w:r>
          </w:p>
        </w:tc>
      </w:tr>
      <w:tr w14:paraId="52E41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solid" w:color="FFFFFF" w:fill="auto"/>
            <w:noWrap w:val="0"/>
            <w:vAlign w:val="center"/>
          </w:tcPr>
          <w:p w14:paraId="62266DA3">
            <w:pPr>
              <w:shd w:val="solid" w:color="FFFFFF" w:fill="auto"/>
              <w:autoSpaceDN w:val="0"/>
              <w:jc w:val="center"/>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301683</w:t>
            </w:r>
          </w:p>
        </w:tc>
        <w:tc>
          <w:tcPr>
            <w:tcW w:w="1394" w:type="dxa"/>
            <w:shd w:val="solid" w:color="FFFFFF" w:fill="auto"/>
            <w:noWrap w:val="0"/>
            <w:vAlign w:val="center"/>
          </w:tcPr>
          <w:p w14:paraId="409C4536">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慧谷新材</w:t>
            </w:r>
          </w:p>
        </w:tc>
        <w:tc>
          <w:tcPr>
            <w:tcW w:w="1755" w:type="dxa"/>
            <w:shd w:val="solid" w:color="FFFFFF" w:fill="auto"/>
            <w:noWrap w:val="0"/>
            <w:vAlign w:val="center"/>
          </w:tcPr>
          <w:p w14:paraId="3FC828A3">
            <w:pPr>
              <w:keepNext w:val="0"/>
              <w:keepLines w:val="0"/>
              <w:widowControl/>
              <w:suppressLineNumbers w:val="0"/>
              <w:jc w:val="right"/>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i w:val="0"/>
                <w:iCs w:val="0"/>
                <w:color w:val="000000"/>
                <w:kern w:val="0"/>
                <w:sz w:val="24"/>
                <w:szCs w:val="24"/>
                <w:u w:val="none"/>
                <w:lang w:val="en-US" w:eastAsia="zh-CN" w:bidi="ar"/>
              </w:rPr>
              <w:t>123,683.64</w:t>
            </w:r>
          </w:p>
        </w:tc>
        <w:tc>
          <w:tcPr>
            <w:tcW w:w="1559" w:type="dxa"/>
            <w:shd w:val="solid" w:color="FFFFFF" w:fill="auto"/>
            <w:noWrap w:val="0"/>
            <w:vAlign w:val="center"/>
          </w:tcPr>
          <w:p w14:paraId="33C92424">
            <w:pPr>
              <w:shd w:val="solid" w:color="FFFFFF" w:fill="auto"/>
              <w:autoSpaceDN w:val="0"/>
              <w:jc w:val="center"/>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2026-04-01</w:t>
            </w:r>
          </w:p>
        </w:tc>
        <w:tc>
          <w:tcPr>
            <w:tcW w:w="1559" w:type="dxa"/>
            <w:shd w:val="solid" w:color="FFFFFF" w:fill="auto"/>
            <w:noWrap w:val="0"/>
            <w:vAlign w:val="center"/>
          </w:tcPr>
          <w:p w14:paraId="0DAF7AD9">
            <w:pPr>
              <w:shd w:val="solid" w:color="FFFFFF" w:fill="auto"/>
              <w:autoSpaceDN w:val="0"/>
              <w:jc w:val="right"/>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78.38</w:t>
            </w:r>
          </w:p>
        </w:tc>
        <w:tc>
          <w:tcPr>
            <w:tcW w:w="1783" w:type="dxa"/>
            <w:shd w:val="solid" w:color="FFFFFF" w:fill="auto"/>
            <w:noWrap w:val="0"/>
            <w:vAlign w:val="center"/>
          </w:tcPr>
          <w:p w14:paraId="3883B3BB">
            <w:pPr>
              <w:shd w:val="solid" w:color="FFFFFF" w:fill="auto"/>
              <w:autoSpaceDN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 xml:space="preserve">1,578 </w:t>
            </w:r>
          </w:p>
        </w:tc>
      </w:tr>
      <w:tr w14:paraId="2DBF4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solid" w:color="FFFFFF" w:fill="auto"/>
            <w:noWrap w:val="0"/>
            <w:vAlign w:val="center"/>
          </w:tcPr>
          <w:p w14:paraId="0EEDD8F5">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301696</w:t>
            </w:r>
          </w:p>
        </w:tc>
        <w:tc>
          <w:tcPr>
            <w:tcW w:w="1394" w:type="dxa"/>
            <w:shd w:val="solid" w:color="FFFFFF" w:fill="auto"/>
            <w:noWrap w:val="0"/>
            <w:vAlign w:val="center"/>
          </w:tcPr>
          <w:p w14:paraId="528F7958">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三瑞智能</w:t>
            </w:r>
          </w:p>
        </w:tc>
        <w:tc>
          <w:tcPr>
            <w:tcW w:w="1755" w:type="dxa"/>
            <w:shd w:val="solid" w:color="FFFFFF" w:fill="auto"/>
            <w:noWrap w:val="0"/>
            <w:vAlign w:val="center"/>
          </w:tcPr>
          <w:p w14:paraId="6CF79E87">
            <w:pPr>
              <w:keepNext w:val="0"/>
              <w:keepLines w:val="0"/>
              <w:widowControl/>
              <w:suppressLineNumbers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i w:val="0"/>
                <w:iCs w:val="0"/>
                <w:color w:val="000000"/>
                <w:kern w:val="0"/>
                <w:sz w:val="24"/>
                <w:szCs w:val="24"/>
                <w:u w:val="none"/>
                <w:lang w:val="en-US" w:eastAsia="zh-CN" w:bidi="ar"/>
              </w:rPr>
              <w:t>98,744.68</w:t>
            </w:r>
          </w:p>
        </w:tc>
        <w:tc>
          <w:tcPr>
            <w:tcW w:w="1559" w:type="dxa"/>
            <w:shd w:val="solid" w:color="FFFFFF" w:fill="auto"/>
            <w:noWrap w:val="0"/>
            <w:vAlign w:val="center"/>
          </w:tcPr>
          <w:p w14:paraId="56DEE78E">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2026-04-10</w:t>
            </w:r>
          </w:p>
        </w:tc>
        <w:tc>
          <w:tcPr>
            <w:tcW w:w="1559" w:type="dxa"/>
            <w:shd w:val="solid" w:color="FFFFFF" w:fill="auto"/>
            <w:noWrap w:val="0"/>
            <w:vAlign w:val="center"/>
          </w:tcPr>
          <w:p w14:paraId="5C331045">
            <w:pPr>
              <w:shd w:val="solid" w:color="FFFFFF" w:fill="auto"/>
              <w:autoSpaceDN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24.68</w:t>
            </w:r>
          </w:p>
        </w:tc>
        <w:tc>
          <w:tcPr>
            <w:tcW w:w="1783" w:type="dxa"/>
            <w:shd w:val="solid" w:color="FFFFFF" w:fill="auto"/>
            <w:noWrap w:val="0"/>
            <w:vAlign w:val="center"/>
          </w:tcPr>
          <w:p w14:paraId="37AFE87D">
            <w:pPr>
              <w:shd w:val="solid" w:color="FFFFFF" w:fill="auto"/>
              <w:autoSpaceDN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 xml:space="preserve">4,001 </w:t>
            </w:r>
          </w:p>
        </w:tc>
      </w:tr>
      <w:tr w14:paraId="5EA15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solid" w:color="FFFFFF" w:fill="auto"/>
            <w:noWrap w:val="0"/>
            <w:vAlign w:val="center"/>
          </w:tcPr>
          <w:p w14:paraId="5D19F5D6">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301666</w:t>
            </w:r>
          </w:p>
        </w:tc>
        <w:tc>
          <w:tcPr>
            <w:tcW w:w="1394" w:type="dxa"/>
            <w:shd w:val="solid" w:color="FFFFFF" w:fill="auto"/>
            <w:noWrap w:val="0"/>
            <w:vAlign w:val="center"/>
          </w:tcPr>
          <w:p w14:paraId="30EE0615">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大普微</w:t>
            </w:r>
          </w:p>
        </w:tc>
        <w:tc>
          <w:tcPr>
            <w:tcW w:w="1755" w:type="dxa"/>
            <w:shd w:val="solid" w:color="FFFFFF" w:fill="auto"/>
            <w:noWrap w:val="0"/>
            <w:vAlign w:val="center"/>
          </w:tcPr>
          <w:p w14:paraId="2F391D82">
            <w:pPr>
              <w:keepNext w:val="0"/>
              <w:keepLines w:val="0"/>
              <w:widowControl/>
              <w:suppressLineNumbers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i w:val="0"/>
                <w:iCs w:val="0"/>
                <w:color w:val="000000"/>
                <w:kern w:val="0"/>
                <w:sz w:val="24"/>
                <w:szCs w:val="24"/>
                <w:u w:val="none"/>
                <w:lang w:val="en-US" w:eastAsia="zh-CN" w:bidi="ar"/>
              </w:rPr>
              <w:t>201,000.96</w:t>
            </w:r>
          </w:p>
        </w:tc>
        <w:tc>
          <w:tcPr>
            <w:tcW w:w="1559" w:type="dxa"/>
            <w:shd w:val="solid" w:color="FFFFFF" w:fill="auto"/>
            <w:noWrap w:val="0"/>
            <w:vAlign w:val="center"/>
          </w:tcPr>
          <w:p w14:paraId="7F578915">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2026-04-16</w:t>
            </w:r>
          </w:p>
        </w:tc>
        <w:tc>
          <w:tcPr>
            <w:tcW w:w="1559" w:type="dxa"/>
            <w:shd w:val="solid" w:color="FFFFFF" w:fill="auto"/>
            <w:noWrap w:val="0"/>
            <w:vAlign w:val="center"/>
          </w:tcPr>
          <w:p w14:paraId="6FC7BF5A">
            <w:pPr>
              <w:shd w:val="solid" w:color="FFFFFF" w:fill="auto"/>
              <w:autoSpaceDN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46.08</w:t>
            </w:r>
          </w:p>
        </w:tc>
        <w:tc>
          <w:tcPr>
            <w:tcW w:w="1783" w:type="dxa"/>
            <w:shd w:val="solid" w:color="FFFFFF" w:fill="auto"/>
            <w:noWrap w:val="0"/>
            <w:vAlign w:val="center"/>
          </w:tcPr>
          <w:p w14:paraId="0588A6D6">
            <w:pPr>
              <w:shd w:val="solid" w:color="FFFFFF" w:fill="auto"/>
              <w:autoSpaceDN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 xml:space="preserve">4,362 </w:t>
            </w:r>
          </w:p>
        </w:tc>
      </w:tr>
      <w:tr w14:paraId="3324A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solid" w:color="FFFFFF" w:fill="auto"/>
            <w:noWrap w:val="0"/>
            <w:vAlign w:val="center"/>
          </w:tcPr>
          <w:p w14:paraId="1F49D4B2">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301513</w:t>
            </w:r>
          </w:p>
        </w:tc>
        <w:tc>
          <w:tcPr>
            <w:tcW w:w="1394" w:type="dxa"/>
            <w:shd w:val="solid" w:color="FFFFFF" w:fill="auto"/>
            <w:noWrap w:val="0"/>
            <w:vAlign w:val="center"/>
          </w:tcPr>
          <w:p w14:paraId="24FD2505">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尚水智能</w:t>
            </w:r>
          </w:p>
        </w:tc>
        <w:tc>
          <w:tcPr>
            <w:tcW w:w="1755" w:type="dxa"/>
            <w:shd w:val="solid" w:color="FFFFFF" w:fill="auto"/>
            <w:noWrap w:val="0"/>
            <w:vAlign w:val="center"/>
          </w:tcPr>
          <w:p w14:paraId="5C8B1F94">
            <w:pPr>
              <w:keepNext w:val="0"/>
              <w:keepLines w:val="0"/>
              <w:widowControl/>
              <w:suppressLineNumbers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i w:val="0"/>
                <w:iCs w:val="0"/>
                <w:color w:val="000000"/>
                <w:kern w:val="0"/>
                <w:sz w:val="24"/>
                <w:szCs w:val="24"/>
                <w:u w:val="none"/>
                <w:lang w:val="en-US" w:eastAsia="zh-CN" w:bidi="ar"/>
              </w:rPr>
              <w:t>66,650.00</w:t>
            </w:r>
          </w:p>
        </w:tc>
        <w:tc>
          <w:tcPr>
            <w:tcW w:w="1559" w:type="dxa"/>
            <w:shd w:val="solid" w:color="FFFFFF" w:fill="auto"/>
            <w:noWrap w:val="0"/>
            <w:vAlign w:val="center"/>
          </w:tcPr>
          <w:p w14:paraId="5CE3DE63">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2026-04-17</w:t>
            </w:r>
          </w:p>
        </w:tc>
        <w:tc>
          <w:tcPr>
            <w:tcW w:w="1559" w:type="dxa"/>
            <w:shd w:val="solid" w:color="FFFFFF" w:fill="auto"/>
            <w:noWrap w:val="0"/>
            <w:vAlign w:val="center"/>
          </w:tcPr>
          <w:p w14:paraId="7C22B839">
            <w:pPr>
              <w:shd w:val="solid" w:color="FFFFFF" w:fill="auto"/>
              <w:autoSpaceDN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26.66</w:t>
            </w:r>
          </w:p>
        </w:tc>
        <w:tc>
          <w:tcPr>
            <w:tcW w:w="1783" w:type="dxa"/>
            <w:shd w:val="solid" w:color="FFFFFF" w:fill="auto"/>
            <w:noWrap w:val="0"/>
            <w:vAlign w:val="center"/>
          </w:tcPr>
          <w:p w14:paraId="180942DA">
            <w:pPr>
              <w:shd w:val="solid" w:color="FFFFFF" w:fill="auto"/>
              <w:autoSpaceDN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 xml:space="preserve">2,500 </w:t>
            </w:r>
          </w:p>
        </w:tc>
      </w:tr>
      <w:tr w14:paraId="2B0F2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solid" w:color="FFFFFF" w:fill="auto"/>
            <w:noWrap w:val="0"/>
            <w:vAlign w:val="center"/>
          </w:tcPr>
          <w:p w14:paraId="615D93B7">
            <w:pPr>
              <w:shd w:val="solid" w:color="FFFFFF" w:fill="auto"/>
              <w:autoSpaceDN w:val="0"/>
              <w:jc w:val="center"/>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301599</w:t>
            </w:r>
          </w:p>
        </w:tc>
        <w:tc>
          <w:tcPr>
            <w:tcW w:w="1394" w:type="dxa"/>
            <w:shd w:val="solid" w:color="FFFFFF" w:fill="auto"/>
            <w:noWrap w:val="0"/>
            <w:vAlign w:val="center"/>
          </w:tcPr>
          <w:p w14:paraId="4FD53300">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理奇智能</w:t>
            </w:r>
          </w:p>
        </w:tc>
        <w:tc>
          <w:tcPr>
            <w:tcW w:w="1755" w:type="dxa"/>
            <w:shd w:val="solid" w:color="FFFFFF" w:fill="auto"/>
            <w:noWrap w:val="0"/>
            <w:vAlign w:val="center"/>
          </w:tcPr>
          <w:p w14:paraId="02E36118">
            <w:pPr>
              <w:keepNext w:val="0"/>
              <w:keepLines w:val="0"/>
              <w:widowControl/>
              <w:suppressLineNumbers w:val="0"/>
              <w:jc w:val="right"/>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i w:val="0"/>
                <w:iCs w:val="0"/>
                <w:color w:val="000000"/>
                <w:kern w:val="0"/>
                <w:sz w:val="24"/>
                <w:szCs w:val="24"/>
                <w:u w:val="none"/>
                <w:lang w:val="en-US" w:eastAsia="zh-CN" w:bidi="ar"/>
              </w:rPr>
              <w:t>90,053.34</w:t>
            </w:r>
          </w:p>
        </w:tc>
        <w:tc>
          <w:tcPr>
            <w:tcW w:w="1559" w:type="dxa"/>
            <w:shd w:val="solid" w:color="FFFFFF" w:fill="auto"/>
            <w:noWrap w:val="0"/>
            <w:vAlign w:val="center"/>
          </w:tcPr>
          <w:p w14:paraId="4A174C6E">
            <w:pPr>
              <w:shd w:val="solid" w:color="FFFFFF" w:fill="auto"/>
              <w:autoSpaceDN w:val="0"/>
              <w:jc w:val="center"/>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2026-04-30</w:t>
            </w:r>
          </w:p>
        </w:tc>
        <w:tc>
          <w:tcPr>
            <w:tcW w:w="1559" w:type="dxa"/>
            <w:shd w:val="solid" w:color="FFFFFF" w:fill="auto"/>
            <w:noWrap w:val="0"/>
            <w:vAlign w:val="center"/>
          </w:tcPr>
          <w:p w14:paraId="13D6A3EC">
            <w:pPr>
              <w:shd w:val="solid" w:color="FFFFFF" w:fill="auto"/>
              <w:autoSpaceDN w:val="0"/>
              <w:jc w:val="right"/>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13.91</w:t>
            </w:r>
          </w:p>
        </w:tc>
        <w:tc>
          <w:tcPr>
            <w:tcW w:w="1783" w:type="dxa"/>
            <w:shd w:val="solid" w:color="FFFFFF" w:fill="auto"/>
            <w:noWrap w:val="0"/>
            <w:vAlign w:val="center"/>
          </w:tcPr>
          <w:p w14:paraId="19CC8B3F">
            <w:pPr>
              <w:shd w:val="solid" w:color="FFFFFF" w:fill="auto"/>
              <w:autoSpaceDN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 xml:space="preserve">6,474 </w:t>
            </w:r>
          </w:p>
        </w:tc>
      </w:tr>
      <w:tr w14:paraId="49E71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solid" w:color="FFFFFF" w:fill="auto"/>
            <w:noWrap w:val="0"/>
            <w:vAlign w:val="center"/>
          </w:tcPr>
          <w:p w14:paraId="460F8AC1">
            <w:pPr>
              <w:shd w:val="solid" w:color="FFFFFF" w:fill="auto"/>
              <w:autoSpaceDN w:val="0"/>
              <w:jc w:val="center"/>
              <w:textAlignment w:val="center"/>
              <w:rPr>
                <w:rFonts w:hint="eastAsia" w:ascii="Times New Roman" w:hAnsi="Times New Roman" w:eastAsia="宋体" w:cs="Times New Roman"/>
                <w:b/>
                <w:bCs/>
                <w:color w:val="auto"/>
                <w:szCs w:val="24"/>
                <w:highlight w:val="none"/>
                <w:lang w:val="en-US" w:eastAsia="zh-CN"/>
              </w:rPr>
            </w:pPr>
            <w:r>
              <w:rPr>
                <w:rFonts w:ascii="Times New Roman" w:hAnsi="Times New Roman" w:eastAsia="宋体"/>
                <w:b/>
                <w:bCs/>
                <w:color w:val="auto"/>
                <w:szCs w:val="24"/>
                <w:highlight w:val="none"/>
                <w:lang w:eastAsia="zh-Hans"/>
              </w:rPr>
              <w:t>总计</w:t>
            </w:r>
          </w:p>
        </w:tc>
        <w:tc>
          <w:tcPr>
            <w:tcW w:w="1394" w:type="dxa"/>
            <w:shd w:val="solid" w:color="FFFFFF" w:fill="auto"/>
            <w:noWrap w:val="0"/>
            <w:vAlign w:val="center"/>
          </w:tcPr>
          <w:p w14:paraId="055CFDDD">
            <w:pPr>
              <w:shd w:val="solid" w:color="FFFFFF" w:fill="auto"/>
              <w:autoSpaceDN w:val="0"/>
              <w:jc w:val="center"/>
              <w:textAlignment w:val="center"/>
              <w:rPr>
                <w:rFonts w:hint="eastAsia" w:ascii="Times New Roman" w:hAnsi="Times New Roman" w:eastAsia="宋体" w:cs="Times New Roman"/>
                <w:b/>
                <w:bCs/>
                <w:color w:val="auto"/>
                <w:szCs w:val="24"/>
                <w:highlight w:val="none"/>
                <w:lang w:val="en-US" w:eastAsia="zh-CN"/>
              </w:rPr>
            </w:pPr>
          </w:p>
        </w:tc>
        <w:tc>
          <w:tcPr>
            <w:tcW w:w="1755" w:type="dxa"/>
            <w:shd w:val="solid" w:color="FFFFFF" w:fill="auto"/>
            <w:noWrap w:val="0"/>
            <w:vAlign w:val="center"/>
          </w:tcPr>
          <w:p w14:paraId="7C519E7C">
            <w:pPr>
              <w:keepNext w:val="0"/>
              <w:keepLines w:val="0"/>
              <w:widowControl/>
              <w:suppressLineNumbers w:val="0"/>
              <w:jc w:val="right"/>
              <w:textAlignment w:val="center"/>
              <w:rPr>
                <w:rFonts w:hint="default" w:ascii="Times New Roman" w:hAnsi="Times New Roman" w:eastAsia="宋体" w:cs="Times New Roman"/>
                <w:b/>
                <w:bCs/>
                <w:i w:val="0"/>
                <w:iCs w:val="0"/>
                <w:color w:val="000000"/>
                <w:kern w:val="0"/>
                <w:sz w:val="24"/>
                <w:szCs w:val="24"/>
                <w:u w:val="none"/>
                <w:lang w:val="en-US" w:eastAsia="zh-CN" w:bidi="ar"/>
              </w:rPr>
            </w:pPr>
            <w:r>
              <w:rPr>
                <w:rFonts w:hint="default" w:ascii="Times New Roman" w:hAnsi="Times New Roman" w:eastAsia="宋体" w:cs="Times New Roman"/>
                <w:b/>
                <w:bCs/>
                <w:i w:val="0"/>
                <w:iCs w:val="0"/>
                <w:color w:val="000000"/>
                <w:kern w:val="0"/>
                <w:sz w:val="24"/>
                <w:szCs w:val="24"/>
                <w:u w:val="none"/>
                <w:lang w:val="en-US" w:eastAsia="zh-CN" w:bidi="ar"/>
              </w:rPr>
              <w:fldChar w:fldCharType="begin"/>
            </w:r>
            <w:r>
              <w:rPr>
                <w:rFonts w:hint="default" w:ascii="Times New Roman" w:hAnsi="Times New Roman" w:eastAsia="宋体" w:cs="Times New Roman"/>
                <w:b/>
                <w:bCs/>
                <w:i w:val="0"/>
                <w:iCs w:val="0"/>
                <w:color w:val="000000"/>
                <w:kern w:val="0"/>
                <w:sz w:val="24"/>
                <w:szCs w:val="24"/>
                <w:u w:val="none"/>
                <w:lang w:val="en-US" w:eastAsia="zh-CN" w:bidi="ar"/>
              </w:rPr>
              <w:instrText xml:space="preserve"> = sum(C2:C6) \* MERGEFORMAT </w:instrText>
            </w:r>
            <w:r>
              <w:rPr>
                <w:rFonts w:hint="default" w:ascii="Times New Roman" w:hAnsi="Times New Roman" w:eastAsia="宋体" w:cs="Times New Roman"/>
                <w:b/>
                <w:bCs/>
                <w:i w:val="0"/>
                <w:iCs w:val="0"/>
                <w:color w:val="000000"/>
                <w:kern w:val="0"/>
                <w:sz w:val="24"/>
                <w:szCs w:val="24"/>
                <w:u w:val="none"/>
                <w:lang w:val="en-US" w:eastAsia="zh-CN" w:bidi="ar"/>
              </w:rPr>
              <w:fldChar w:fldCharType="separate"/>
            </w:r>
            <w:r>
              <w:rPr>
                <w:rFonts w:hint="default" w:ascii="Times New Roman" w:hAnsi="Times New Roman" w:eastAsia="宋体" w:cs="Times New Roman"/>
                <w:b/>
                <w:bCs/>
                <w:i w:val="0"/>
                <w:iCs w:val="0"/>
                <w:color w:val="000000"/>
                <w:kern w:val="0"/>
                <w:sz w:val="24"/>
                <w:szCs w:val="24"/>
                <w:u w:val="none"/>
                <w:lang w:val="en-US" w:eastAsia="zh-CN" w:bidi="ar"/>
              </w:rPr>
              <w:t>580</w:t>
            </w:r>
            <w:r>
              <w:rPr>
                <w:rFonts w:hint="eastAsia" w:ascii="Times New Roman" w:hAnsi="Times New Roman" w:eastAsia="宋体" w:cs="Times New Roman"/>
                <w:b/>
                <w:bCs/>
                <w:i w:val="0"/>
                <w:iCs w:val="0"/>
                <w:color w:val="000000"/>
                <w:kern w:val="0"/>
                <w:sz w:val="24"/>
                <w:szCs w:val="24"/>
                <w:u w:val="none"/>
                <w:lang w:val="en-US" w:eastAsia="zh-CN" w:bidi="ar"/>
              </w:rPr>
              <w:t>,</w:t>
            </w:r>
            <w:r>
              <w:rPr>
                <w:rFonts w:hint="default" w:ascii="Times New Roman" w:hAnsi="Times New Roman" w:eastAsia="宋体" w:cs="Times New Roman"/>
                <w:b/>
                <w:bCs/>
                <w:i w:val="0"/>
                <w:iCs w:val="0"/>
                <w:color w:val="000000"/>
                <w:kern w:val="0"/>
                <w:sz w:val="24"/>
                <w:szCs w:val="24"/>
                <w:u w:val="none"/>
                <w:lang w:val="en-US" w:eastAsia="zh-CN" w:bidi="ar"/>
              </w:rPr>
              <w:t>132.62</w:t>
            </w:r>
            <w:r>
              <w:rPr>
                <w:rFonts w:hint="default" w:ascii="Times New Roman" w:hAnsi="Times New Roman" w:eastAsia="宋体" w:cs="Times New Roman"/>
                <w:b/>
                <w:bCs/>
                <w:i w:val="0"/>
                <w:iCs w:val="0"/>
                <w:color w:val="000000"/>
                <w:kern w:val="0"/>
                <w:sz w:val="24"/>
                <w:szCs w:val="24"/>
                <w:u w:val="none"/>
                <w:lang w:val="en-US" w:eastAsia="zh-CN" w:bidi="ar"/>
              </w:rPr>
              <w:fldChar w:fldCharType="end"/>
            </w:r>
          </w:p>
        </w:tc>
        <w:tc>
          <w:tcPr>
            <w:tcW w:w="1559" w:type="dxa"/>
            <w:shd w:val="solid" w:color="FFFFFF" w:fill="auto"/>
            <w:noWrap w:val="0"/>
            <w:vAlign w:val="center"/>
          </w:tcPr>
          <w:p w14:paraId="566E3280">
            <w:pPr>
              <w:shd w:val="solid" w:color="FFFFFF" w:fill="auto"/>
              <w:autoSpaceDN w:val="0"/>
              <w:jc w:val="center"/>
              <w:textAlignment w:val="center"/>
              <w:rPr>
                <w:rFonts w:hint="eastAsia" w:ascii="Times New Roman" w:hAnsi="Times New Roman" w:eastAsia="宋体" w:cs="Times New Roman"/>
                <w:b/>
                <w:bCs/>
                <w:color w:val="auto"/>
                <w:szCs w:val="24"/>
                <w:highlight w:val="none"/>
                <w:lang w:val="en-US" w:eastAsia="zh-CN"/>
              </w:rPr>
            </w:pPr>
          </w:p>
        </w:tc>
        <w:tc>
          <w:tcPr>
            <w:tcW w:w="1559" w:type="dxa"/>
            <w:shd w:val="solid" w:color="FFFFFF" w:fill="auto"/>
            <w:noWrap w:val="0"/>
            <w:vAlign w:val="center"/>
          </w:tcPr>
          <w:p w14:paraId="018E7443">
            <w:pPr>
              <w:shd w:val="solid" w:color="FFFFFF" w:fill="auto"/>
              <w:autoSpaceDN w:val="0"/>
              <w:jc w:val="right"/>
              <w:textAlignment w:val="center"/>
              <w:rPr>
                <w:rFonts w:hint="eastAsia" w:ascii="Times New Roman" w:hAnsi="Times New Roman" w:eastAsia="宋体" w:cs="Times New Roman"/>
                <w:b/>
                <w:bCs/>
                <w:color w:val="auto"/>
                <w:szCs w:val="24"/>
                <w:highlight w:val="none"/>
                <w:lang w:val="en-US" w:eastAsia="zh-CN"/>
              </w:rPr>
            </w:pPr>
          </w:p>
        </w:tc>
        <w:tc>
          <w:tcPr>
            <w:tcW w:w="1783" w:type="dxa"/>
            <w:shd w:val="solid" w:color="FFFFFF" w:fill="auto"/>
            <w:noWrap w:val="0"/>
            <w:vAlign w:val="center"/>
          </w:tcPr>
          <w:p w14:paraId="124A67BC">
            <w:pPr>
              <w:shd w:val="solid" w:color="FFFFFF" w:fill="auto"/>
              <w:autoSpaceDN w:val="0"/>
              <w:jc w:val="right"/>
              <w:textAlignment w:val="center"/>
              <w:rPr>
                <w:rFonts w:hint="default" w:ascii="Times New Roman" w:hAnsi="Times New Roman" w:eastAsia="宋体" w:cs="Times New Roman"/>
                <w:b/>
                <w:bCs/>
                <w:color w:val="auto"/>
                <w:szCs w:val="24"/>
                <w:highlight w:val="none"/>
                <w:lang w:val="en-US" w:eastAsia="zh-CN"/>
              </w:rPr>
            </w:pPr>
            <w:r>
              <w:rPr>
                <w:rFonts w:hint="eastAsia" w:ascii="Times New Roman" w:hAnsi="Times New Roman" w:eastAsia="宋体" w:cs="Times New Roman"/>
                <w:b/>
                <w:bCs/>
                <w:color w:val="auto"/>
                <w:szCs w:val="24"/>
                <w:highlight w:val="none"/>
                <w:lang w:val="en-US" w:eastAsia="zh-CN"/>
              </w:rPr>
              <w:t>1</w:t>
            </w:r>
            <w:r>
              <w:rPr>
                <w:rFonts w:hint="default" w:ascii="Times New Roman" w:hAnsi="Times New Roman" w:eastAsia="宋体" w:cs="Times New Roman"/>
                <w:b/>
                <w:bCs/>
                <w:color w:val="auto"/>
                <w:szCs w:val="24"/>
                <w:highlight w:val="none"/>
                <w:lang w:val="en-US" w:eastAsia="zh-CN"/>
              </w:rPr>
              <w:t>8</w:t>
            </w:r>
            <w:r>
              <w:rPr>
                <w:rFonts w:hint="eastAsia" w:ascii="Times New Roman" w:hAnsi="Times New Roman" w:eastAsia="宋体" w:cs="Times New Roman"/>
                <w:b/>
                <w:bCs/>
                <w:color w:val="auto"/>
                <w:szCs w:val="24"/>
                <w:highlight w:val="none"/>
                <w:lang w:val="en-US" w:eastAsia="zh-CN"/>
              </w:rPr>
              <w:t>,91</w:t>
            </w:r>
            <w:r>
              <w:rPr>
                <w:rFonts w:hint="default" w:ascii="Times New Roman" w:hAnsi="Times New Roman" w:eastAsia="宋体" w:cs="Times New Roman"/>
                <w:b/>
                <w:bCs/>
                <w:color w:val="auto"/>
                <w:szCs w:val="24"/>
                <w:highlight w:val="none"/>
                <w:lang w:val="en-US" w:eastAsia="zh-CN"/>
              </w:rPr>
              <w:t>5</w:t>
            </w:r>
          </w:p>
        </w:tc>
      </w:tr>
    </w:tbl>
    <w:p w14:paraId="434493EE">
      <w:pPr>
        <w:keepNext w:val="0"/>
        <w:keepLines w:val="0"/>
        <w:pageBreakBefore w:val="0"/>
        <w:widowControl w:val="0"/>
        <w:numPr>
          <w:ilvl w:val="0"/>
          <w:numId w:val="2"/>
        </w:numPr>
        <w:tabs>
          <w:tab w:val="left" w:pos="0"/>
          <w:tab w:val="left" w:pos="4680"/>
        </w:tabs>
        <w:kinsoku/>
        <w:wordWrap/>
        <w:overflowPunct/>
        <w:topLinePunct w:val="0"/>
        <w:autoSpaceDE/>
        <w:autoSpaceDN/>
        <w:bidi w:val="0"/>
        <w:adjustRightInd/>
        <w:snapToGrid/>
        <w:spacing w:before="313" w:beforeLines="100" w:after="156" w:afterLines="50" w:line="360" w:lineRule="auto"/>
        <w:ind w:firstLine="480" w:firstLineChars="200"/>
        <w:textAlignment w:val="auto"/>
        <w:rPr>
          <w:rFonts w:hint="eastAsia" w:ascii="Times New Roman" w:hAnsi="Times New Roman" w:eastAsia="宋体" w:cs="Times New Roman"/>
          <w:szCs w:val="24"/>
          <w:highlight w:val="none"/>
          <w:lang w:eastAsia="zh-Hans"/>
        </w:rPr>
      </w:pPr>
      <w:r>
        <w:rPr>
          <w:rFonts w:hint="eastAsia" w:ascii="Times New Roman" w:hAnsi="Times New Roman" w:eastAsia="宋体" w:cs="Times New Roman"/>
          <w:szCs w:val="24"/>
          <w:highlight w:val="none"/>
          <w:lang w:eastAsia="zh-Hans"/>
        </w:rPr>
        <w:t>科创板IPO发行公司情况</w:t>
      </w:r>
    </w:p>
    <w:tbl>
      <w:tblPr>
        <w:tblStyle w:val="7"/>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394"/>
        <w:gridCol w:w="1755"/>
        <w:gridCol w:w="1559"/>
        <w:gridCol w:w="1559"/>
        <w:gridCol w:w="1783"/>
      </w:tblGrid>
      <w:tr w14:paraId="229ACC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blHeader/>
          <w:jc w:val="center"/>
        </w:trPr>
        <w:tc>
          <w:tcPr>
            <w:tcW w:w="1238" w:type="dxa"/>
            <w:shd w:val="solid" w:color="C0C0C0" w:fill="auto"/>
            <w:noWrap w:val="0"/>
            <w:vAlign w:val="center"/>
          </w:tcPr>
          <w:p w14:paraId="40E56421">
            <w:pPr>
              <w:shd w:val="solid" w:color="C0C0C0" w:fill="auto"/>
              <w:autoSpaceDN w:val="0"/>
              <w:jc w:val="center"/>
              <w:textAlignment w:val="center"/>
              <w:rPr>
                <w:rFonts w:ascii="Times New Roman" w:hAnsi="Times New Roman" w:eastAsia="宋体"/>
                <w:b/>
                <w:bCs/>
                <w:color w:val="auto"/>
                <w:szCs w:val="24"/>
                <w:highlight w:val="none"/>
              </w:rPr>
            </w:pPr>
            <w:r>
              <w:rPr>
                <w:rFonts w:ascii="Times New Roman" w:hAnsi="Times New Roman" w:eastAsia="宋体"/>
                <w:b/>
                <w:color w:val="auto"/>
                <w:szCs w:val="24"/>
                <w:highlight w:val="none"/>
                <w:shd w:val="clear" w:color="auto" w:fill="C0C0C0"/>
              </w:rPr>
              <w:t>代码</w:t>
            </w:r>
          </w:p>
        </w:tc>
        <w:tc>
          <w:tcPr>
            <w:tcW w:w="1394" w:type="dxa"/>
            <w:shd w:val="solid" w:color="C0C0C0" w:fill="auto"/>
            <w:noWrap w:val="0"/>
            <w:vAlign w:val="center"/>
          </w:tcPr>
          <w:p w14:paraId="6DEF28A7">
            <w:pPr>
              <w:shd w:val="solid" w:color="C0C0C0" w:fill="auto"/>
              <w:autoSpaceDN w:val="0"/>
              <w:jc w:val="center"/>
              <w:textAlignment w:val="center"/>
              <w:rPr>
                <w:rFonts w:ascii="Times New Roman" w:hAnsi="Times New Roman" w:eastAsia="宋体"/>
                <w:b/>
                <w:bCs/>
                <w:color w:val="auto"/>
                <w:szCs w:val="24"/>
                <w:highlight w:val="none"/>
              </w:rPr>
            </w:pPr>
            <w:r>
              <w:rPr>
                <w:rFonts w:ascii="Times New Roman" w:hAnsi="Times New Roman" w:eastAsia="宋体"/>
                <w:b/>
                <w:color w:val="auto"/>
                <w:szCs w:val="24"/>
                <w:highlight w:val="none"/>
                <w:shd w:val="clear" w:color="auto" w:fill="C0C0C0"/>
              </w:rPr>
              <w:t>股票简称</w:t>
            </w:r>
          </w:p>
        </w:tc>
        <w:tc>
          <w:tcPr>
            <w:tcW w:w="1755" w:type="dxa"/>
            <w:shd w:val="solid" w:color="C0C0C0" w:fill="auto"/>
            <w:noWrap w:val="0"/>
            <w:vAlign w:val="center"/>
          </w:tcPr>
          <w:p w14:paraId="13E32C50">
            <w:pPr>
              <w:shd w:val="solid" w:color="C0C0C0" w:fill="auto"/>
              <w:autoSpaceDN w:val="0"/>
              <w:jc w:val="center"/>
              <w:textAlignment w:val="center"/>
              <w:rPr>
                <w:rFonts w:hint="eastAsia" w:ascii="Times New Roman" w:hAnsi="Times New Roman" w:eastAsia="宋体"/>
                <w:b/>
                <w:bCs/>
                <w:color w:val="auto"/>
                <w:szCs w:val="24"/>
                <w:highlight w:val="none"/>
              </w:rPr>
            </w:pPr>
            <w:r>
              <w:rPr>
                <w:rFonts w:ascii="Times New Roman" w:hAnsi="Times New Roman" w:eastAsia="宋体"/>
                <w:b/>
                <w:color w:val="auto"/>
                <w:szCs w:val="24"/>
                <w:highlight w:val="none"/>
                <w:shd w:val="clear" w:color="auto" w:fill="C0C0C0"/>
              </w:rPr>
              <w:t>募集资金总额</w:t>
            </w:r>
            <w:r>
              <w:rPr>
                <w:rFonts w:hint="eastAsia" w:ascii="Times New Roman" w:hAnsi="Times New Roman" w:eastAsia="宋体"/>
                <w:b/>
                <w:color w:val="auto"/>
                <w:szCs w:val="24"/>
                <w:highlight w:val="none"/>
                <w:shd w:val="clear" w:color="auto" w:fill="C0C0C0"/>
              </w:rPr>
              <w:t>（万元）</w:t>
            </w:r>
          </w:p>
        </w:tc>
        <w:tc>
          <w:tcPr>
            <w:tcW w:w="1559" w:type="dxa"/>
            <w:shd w:val="solid" w:color="C0C0C0" w:fill="auto"/>
            <w:noWrap w:val="0"/>
            <w:vAlign w:val="center"/>
          </w:tcPr>
          <w:p w14:paraId="3299E4B0">
            <w:pPr>
              <w:shd w:val="solid" w:color="C0C0C0" w:fill="auto"/>
              <w:autoSpaceDN w:val="0"/>
              <w:jc w:val="center"/>
              <w:textAlignment w:val="center"/>
              <w:rPr>
                <w:rFonts w:ascii="Times New Roman" w:hAnsi="Times New Roman" w:eastAsia="宋体"/>
                <w:b/>
                <w:bCs/>
                <w:color w:val="auto"/>
                <w:szCs w:val="24"/>
                <w:highlight w:val="none"/>
              </w:rPr>
            </w:pPr>
            <w:r>
              <w:rPr>
                <w:rFonts w:ascii="Times New Roman" w:hAnsi="Times New Roman" w:eastAsia="宋体"/>
                <w:b/>
                <w:color w:val="auto"/>
                <w:szCs w:val="24"/>
                <w:highlight w:val="none"/>
                <w:shd w:val="clear" w:color="auto" w:fill="C0C0C0"/>
              </w:rPr>
              <w:t>上市日期</w:t>
            </w:r>
          </w:p>
        </w:tc>
        <w:tc>
          <w:tcPr>
            <w:tcW w:w="1559" w:type="dxa"/>
            <w:shd w:val="solid" w:color="C0C0C0" w:fill="auto"/>
            <w:noWrap w:val="0"/>
            <w:vAlign w:val="center"/>
          </w:tcPr>
          <w:p w14:paraId="0A70F0A4">
            <w:pPr>
              <w:shd w:val="solid" w:color="C0C0C0" w:fill="auto"/>
              <w:autoSpaceDN w:val="0"/>
              <w:jc w:val="center"/>
              <w:textAlignment w:val="center"/>
              <w:rPr>
                <w:rFonts w:hint="eastAsia" w:ascii="Times New Roman" w:hAnsi="Times New Roman" w:eastAsia="宋体"/>
                <w:b/>
                <w:bCs/>
                <w:color w:val="auto"/>
                <w:szCs w:val="24"/>
                <w:highlight w:val="none"/>
              </w:rPr>
            </w:pPr>
            <w:r>
              <w:rPr>
                <w:rFonts w:ascii="Times New Roman" w:hAnsi="Times New Roman" w:eastAsia="宋体"/>
                <w:b/>
                <w:color w:val="auto"/>
                <w:szCs w:val="24"/>
                <w:highlight w:val="none"/>
                <w:shd w:val="clear" w:color="auto" w:fill="C0C0C0"/>
              </w:rPr>
              <w:t>发行价</w:t>
            </w:r>
            <w:r>
              <w:rPr>
                <w:rFonts w:hint="eastAsia" w:ascii="Times New Roman" w:hAnsi="Times New Roman" w:eastAsia="宋体"/>
                <w:b/>
                <w:color w:val="auto"/>
                <w:szCs w:val="24"/>
                <w:highlight w:val="none"/>
                <w:shd w:val="clear" w:color="auto" w:fill="C0C0C0"/>
              </w:rPr>
              <w:t>（元）</w:t>
            </w:r>
          </w:p>
        </w:tc>
        <w:tc>
          <w:tcPr>
            <w:tcW w:w="1783" w:type="dxa"/>
            <w:shd w:val="solid" w:color="C0C0C0" w:fill="auto"/>
            <w:noWrap w:val="0"/>
            <w:vAlign w:val="center"/>
          </w:tcPr>
          <w:p w14:paraId="6E6DC5D3">
            <w:pPr>
              <w:shd w:val="solid" w:color="C0C0C0" w:fill="auto"/>
              <w:autoSpaceDN w:val="0"/>
              <w:jc w:val="center"/>
              <w:textAlignment w:val="center"/>
              <w:rPr>
                <w:rFonts w:ascii="Times New Roman" w:hAnsi="Times New Roman" w:eastAsia="宋体"/>
                <w:b/>
                <w:bCs/>
                <w:color w:val="auto"/>
                <w:szCs w:val="24"/>
                <w:highlight w:val="none"/>
              </w:rPr>
            </w:pPr>
            <w:r>
              <w:rPr>
                <w:rFonts w:ascii="Times New Roman" w:hAnsi="Times New Roman" w:eastAsia="宋体"/>
                <w:b/>
                <w:color w:val="auto"/>
                <w:szCs w:val="24"/>
                <w:highlight w:val="none"/>
                <w:shd w:val="clear" w:color="auto" w:fill="C0C0C0"/>
              </w:rPr>
              <w:t>发行量</w:t>
            </w:r>
            <w:r>
              <w:rPr>
                <w:rFonts w:hint="eastAsia" w:ascii="Times New Roman" w:hAnsi="Times New Roman" w:eastAsia="宋体"/>
                <w:b/>
                <w:color w:val="auto"/>
                <w:szCs w:val="24"/>
                <w:highlight w:val="none"/>
                <w:shd w:val="clear" w:color="auto" w:fill="C0C0C0"/>
              </w:rPr>
              <w:t>（万股）</w:t>
            </w:r>
          </w:p>
        </w:tc>
      </w:tr>
      <w:tr w14:paraId="352FF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solid" w:color="FFFFFF" w:fill="auto"/>
            <w:noWrap w:val="0"/>
            <w:vAlign w:val="center"/>
          </w:tcPr>
          <w:p w14:paraId="3F4A76BF">
            <w:pPr>
              <w:shd w:val="solid" w:color="FFFFFF" w:fill="auto"/>
              <w:autoSpaceDN w:val="0"/>
              <w:jc w:val="center"/>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688811</w:t>
            </w:r>
          </w:p>
        </w:tc>
        <w:tc>
          <w:tcPr>
            <w:tcW w:w="1394" w:type="dxa"/>
            <w:shd w:val="solid" w:color="FFFFFF" w:fill="auto"/>
            <w:noWrap w:val="0"/>
            <w:vAlign w:val="center"/>
          </w:tcPr>
          <w:p w14:paraId="5FAA9203">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有研复材</w:t>
            </w:r>
          </w:p>
        </w:tc>
        <w:tc>
          <w:tcPr>
            <w:tcW w:w="1755" w:type="dxa"/>
            <w:shd w:val="solid" w:color="FFFFFF" w:fill="auto"/>
            <w:noWrap w:val="0"/>
            <w:vAlign w:val="center"/>
          </w:tcPr>
          <w:p w14:paraId="75E3F64F">
            <w:pPr>
              <w:keepNext w:val="0"/>
              <w:keepLines w:val="0"/>
              <w:widowControl/>
              <w:suppressLineNumbers w:val="0"/>
              <w:shd w:val="solid" w:color="FFFFFF" w:fill="auto"/>
              <w:autoSpaceDN w:val="0"/>
              <w:jc w:val="right"/>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i w:val="0"/>
                <w:iCs w:val="0"/>
                <w:color w:val="auto"/>
                <w:kern w:val="2"/>
                <w:sz w:val="24"/>
                <w:szCs w:val="24"/>
                <w:highlight w:val="none"/>
                <w:u w:val="none"/>
                <w:lang w:val="en-US" w:eastAsia="zh-CN" w:bidi="ar"/>
              </w:rPr>
              <w:t>83,612.04</w:t>
            </w:r>
          </w:p>
        </w:tc>
        <w:tc>
          <w:tcPr>
            <w:tcW w:w="1559" w:type="dxa"/>
            <w:shd w:val="solid" w:color="FFFFFF" w:fill="auto"/>
            <w:noWrap w:val="0"/>
            <w:vAlign w:val="center"/>
          </w:tcPr>
          <w:p w14:paraId="08BFF3D9">
            <w:pPr>
              <w:shd w:val="solid" w:color="FFFFFF" w:fill="auto"/>
              <w:autoSpaceDN w:val="0"/>
              <w:jc w:val="center"/>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2026-04-10</w:t>
            </w:r>
          </w:p>
        </w:tc>
        <w:tc>
          <w:tcPr>
            <w:tcW w:w="1559" w:type="dxa"/>
            <w:shd w:val="solid" w:color="FFFFFF" w:fill="auto"/>
            <w:noWrap w:val="0"/>
            <w:vAlign w:val="center"/>
          </w:tcPr>
          <w:p w14:paraId="4BCE90BD">
            <w:pPr>
              <w:shd w:val="solid" w:color="FFFFFF" w:fill="auto"/>
              <w:autoSpaceDN w:val="0"/>
              <w:jc w:val="right"/>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6.41</w:t>
            </w:r>
          </w:p>
        </w:tc>
        <w:tc>
          <w:tcPr>
            <w:tcW w:w="1783" w:type="dxa"/>
            <w:shd w:val="solid" w:color="FFFFFF" w:fill="auto"/>
            <w:noWrap w:val="0"/>
            <w:vAlign w:val="center"/>
          </w:tcPr>
          <w:p w14:paraId="59F8D295">
            <w:pPr>
              <w:shd w:val="solid" w:color="FFFFFF" w:fill="auto"/>
              <w:autoSpaceDN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 xml:space="preserve">13,044 </w:t>
            </w:r>
          </w:p>
        </w:tc>
      </w:tr>
      <w:tr w14:paraId="08317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solid" w:color="FFFFFF" w:fill="auto"/>
            <w:noWrap w:val="0"/>
            <w:vAlign w:val="center"/>
          </w:tcPr>
          <w:p w14:paraId="4F4D2887">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688820</w:t>
            </w:r>
          </w:p>
        </w:tc>
        <w:tc>
          <w:tcPr>
            <w:tcW w:w="1394" w:type="dxa"/>
            <w:shd w:val="solid" w:color="FFFFFF" w:fill="auto"/>
            <w:noWrap w:val="0"/>
            <w:vAlign w:val="center"/>
          </w:tcPr>
          <w:p w14:paraId="664E4B6F">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盛合晶微</w:t>
            </w:r>
          </w:p>
        </w:tc>
        <w:tc>
          <w:tcPr>
            <w:tcW w:w="1755" w:type="dxa"/>
            <w:shd w:val="solid" w:color="FFFFFF" w:fill="auto"/>
            <w:noWrap w:val="0"/>
            <w:vAlign w:val="center"/>
          </w:tcPr>
          <w:p w14:paraId="49BC98E8">
            <w:pPr>
              <w:keepNext w:val="0"/>
              <w:keepLines w:val="0"/>
              <w:widowControl/>
              <w:suppressLineNumbers w:val="0"/>
              <w:shd w:val="solid" w:color="FFFFFF" w:fill="auto"/>
              <w:autoSpaceDN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i w:val="0"/>
                <w:iCs w:val="0"/>
                <w:color w:val="auto"/>
                <w:kern w:val="2"/>
                <w:sz w:val="24"/>
                <w:szCs w:val="24"/>
                <w:highlight w:val="none"/>
                <w:u w:val="none"/>
                <w:lang w:val="en-US" w:eastAsia="zh-CN" w:bidi="ar"/>
              </w:rPr>
              <w:t>502,764.96</w:t>
            </w:r>
          </w:p>
        </w:tc>
        <w:tc>
          <w:tcPr>
            <w:tcW w:w="1559" w:type="dxa"/>
            <w:shd w:val="solid" w:color="FFFFFF" w:fill="auto"/>
            <w:noWrap w:val="0"/>
            <w:vAlign w:val="center"/>
          </w:tcPr>
          <w:p w14:paraId="0260FB77">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2026-04-21</w:t>
            </w:r>
          </w:p>
        </w:tc>
        <w:tc>
          <w:tcPr>
            <w:tcW w:w="1559" w:type="dxa"/>
            <w:shd w:val="solid" w:color="FFFFFF" w:fill="auto"/>
            <w:noWrap w:val="0"/>
            <w:vAlign w:val="center"/>
          </w:tcPr>
          <w:p w14:paraId="69250527">
            <w:pPr>
              <w:shd w:val="solid" w:color="FFFFFF" w:fill="auto"/>
              <w:autoSpaceDN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19.68</w:t>
            </w:r>
          </w:p>
        </w:tc>
        <w:tc>
          <w:tcPr>
            <w:tcW w:w="1783" w:type="dxa"/>
            <w:shd w:val="solid" w:color="FFFFFF" w:fill="auto"/>
            <w:noWrap w:val="0"/>
            <w:vAlign w:val="center"/>
          </w:tcPr>
          <w:p w14:paraId="0FD8C88A">
            <w:pPr>
              <w:shd w:val="solid" w:color="FFFFFF" w:fill="auto"/>
              <w:autoSpaceDN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 xml:space="preserve">25,547 </w:t>
            </w:r>
          </w:p>
        </w:tc>
      </w:tr>
      <w:tr w14:paraId="7A4E7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solid" w:color="FFFFFF" w:fill="auto"/>
            <w:noWrap w:val="0"/>
            <w:vAlign w:val="center"/>
          </w:tcPr>
          <w:p w14:paraId="3C9257E2">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688808</w:t>
            </w:r>
          </w:p>
        </w:tc>
        <w:tc>
          <w:tcPr>
            <w:tcW w:w="1394" w:type="dxa"/>
            <w:shd w:val="solid" w:color="FFFFFF" w:fill="auto"/>
            <w:noWrap w:val="0"/>
            <w:vAlign w:val="center"/>
          </w:tcPr>
          <w:p w14:paraId="65B307CD">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联讯仪器</w:t>
            </w:r>
          </w:p>
        </w:tc>
        <w:tc>
          <w:tcPr>
            <w:tcW w:w="1755" w:type="dxa"/>
            <w:shd w:val="solid" w:color="FFFFFF" w:fill="auto"/>
            <w:noWrap w:val="0"/>
            <w:vAlign w:val="center"/>
          </w:tcPr>
          <w:p w14:paraId="6D4D2F53">
            <w:pPr>
              <w:keepNext w:val="0"/>
              <w:keepLines w:val="0"/>
              <w:widowControl/>
              <w:suppressLineNumbers w:val="0"/>
              <w:shd w:val="solid" w:color="FFFFFF" w:fill="auto"/>
              <w:autoSpaceDN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i w:val="0"/>
                <w:iCs w:val="0"/>
                <w:color w:val="auto"/>
                <w:kern w:val="2"/>
                <w:sz w:val="24"/>
                <w:szCs w:val="24"/>
                <w:highlight w:val="none"/>
                <w:u w:val="none"/>
                <w:lang w:val="en-US" w:eastAsia="zh-CN" w:bidi="ar"/>
              </w:rPr>
              <w:t>210,185.96</w:t>
            </w:r>
          </w:p>
        </w:tc>
        <w:tc>
          <w:tcPr>
            <w:tcW w:w="1559" w:type="dxa"/>
            <w:shd w:val="solid" w:color="FFFFFF" w:fill="auto"/>
            <w:noWrap w:val="0"/>
            <w:vAlign w:val="center"/>
          </w:tcPr>
          <w:p w14:paraId="09A18D4E">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2026-04-24</w:t>
            </w:r>
          </w:p>
        </w:tc>
        <w:tc>
          <w:tcPr>
            <w:tcW w:w="1559" w:type="dxa"/>
            <w:shd w:val="solid" w:color="FFFFFF" w:fill="auto"/>
            <w:noWrap w:val="0"/>
            <w:vAlign w:val="center"/>
          </w:tcPr>
          <w:p w14:paraId="32C5A403">
            <w:pPr>
              <w:shd w:val="solid" w:color="FFFFFF" w:fill="auto"/>
              <w:autoSpaceDN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81.88</w:t>
            </w:r>
          </w:p>
        </w:tc>
        <w:tc>
          <w:tcPr>
            <w:tcW w:w="1783" w:type="dxa"/>
            <w:shd w:val="solid" w:color="FFFFFF" w:fill="auto"/>
            <w:noWrap w:val="0"/>
            <w:vAlign w:val="center"/>
          </w:tcPr>
          <w:p w14:paraId="0286B4C0">
            <w:pPr>
              <w:shd w:val="solid" w:color="FFFFFF" w:fill="auto"/>
              <w:autoSpaceDN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 xml:space="preserve">2,567 </w:t>
            </w:r>
          </w:p>
        </w:tc>
      </w:tr>
      <w:tr w14:paraId="04EF9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solid" w:color="FFFFFF" w:fill="auto"/>
            <w:noWrap w:val="0"/>
            <w:vAlign w:val="center"/>
          </w:tcPr>
          <w:p w14:paraId="03A301B2">
            <w:pPr>
              <w:shd w:val="solid" w:color="FFFFFF" w:fill="auto"/>
              <w:autoSpaceDN w:val="0"/>
              <w:jc w:val="center"/>
              <w:textAlignment w:val="center"/>
              <w:rPr>
                <w:rFonts w:hint="eastAsia" w:ascii="Times New Roman" w:hAnsi="Times New Roman" w:eastAsia="宋体" w:cs="Times New Roman"/>
                <w:b/>
                <w:bCs/>
                <w:color w:val="auto"/>
                <w:szCs w:val="24"/>
                <w:highlight w:val="none"/>
                <w:lang w:val="en-US" w:eastAsia="zh-CN"/>
              </w:rPr>
            </w:pPr>
            <w:r>
              <w:rPr>
                <w:rFonts w:ascii="Times New Roman" w:hAnsi="Times New Roman" w:eastAsia="宋体"/>
                <w:b/>
                <w:bCs/>
                <w:color w:val="auto"/>
                <w:szCs w:val="24"/>
                <w:highlight w:val="none"/>
                <w:lang w:eastAsia="zh-Hans"/>
              </w:rPr>
              <w:t>总计</w:t>
            </w:r>
          </w:p>
        </w:tc>
        <w:tc>
          <w:tcPr>
            <w:tcW w:w="1394" w:type="dxa"/>
            <w:shd w:val="solid" w:color="FFFFFF" w:fill="auto"/>
            <w:noWrap w:val="0"/>
            <w:vAlign w:val="center"/>
          </w:tcPr>
          <w:p w14:paraId="4220B329">
            <w:pPr>
              <w:shd w:val="solid" w:color="FFFFFF" w:fill="auto"/>
              <w:autoSpaceDN w:val="0"/>
              <w:jc w:val="center"/>
              <w:textAlignment w:val="center"/>
              <w:rPr>
                <w:rFonts w:hint="eastAsia" w:ascii="Times New Roman" w:hAnsi="Times New Roman" w:eastAsia="宋体" w:cs="Times New Roman"/>
                <w:b/>
                <w:bCs/>
                <w:color w:val="auto"/>
                <w:szCs w:val="24"/>
                <w:highlight w:val="none"/>
                <w:lang w:val="en-US" w:eastAsia="zh-CN"/>
              </w:rPr>
            </w:pPr>
          </w:p>
        </w:tc>
        <w:tc>
          <w:tcPr>
            <w:tcW w:w="1755" w:type="dxa"/>
            <w:shd w:val="clear" w:color="auto" w:fill="auto"/>
            <w:noWrap w:val="0"/>
            <w:vAlign w:val="center"/>
          </w:tcPr>
          <w:p w14:paraId="7B1FB3BD">
            <w:pPr>
              <w:keepNext w:val="0"/>
              <w:keepLines w:val="0"/>
              <w:widowControl/>
              <w:suppressLineNumbers w:val="0"/>
              <w:shd w:val="solid" w:color="FFFFFF" w:fill="auto"/>
              <w:autoSpaceDN w:val="0"/>
              <w:jc w:val="right"/>
              <w:textAlignment w:val="center"/>
              <w:rPr>
                <w:rFonts w:hint="default" w:ascii="Times New Roman" w:hAnsi="Times New Roman" w:eastAsia="宋体" w:cs="Times New Roman"/>
                <w:b/>
                <w:bCs/>
                <w:i w:val="0"/>
                <w:iCs w:val="0"/>
                <w:color w:val="auto"/>
                <w:kern w:val="2"/>
                <w:sz w:val="24"/>
                <w:szCs w:val="24"/>
                <w:highlight w:val="none"/>
                <w:u w:val="none"/>
                <w:lang w:val="en-US" w:eastAsia="zh-CN" w:bidi="ar"/>
              </w:rPr>
            </w:pPr>
            <w:r>
              <w:rPr>
                <w:rFonts w:hint="default" w:ascii="Times New Roman" w:hAnsi="Times New Roman" w:eastAsia="宋体" w:cs="Times New Roman"/>
                <w:b/>
                <w:bCs/>
                <w:i w:val="0"/>
                <w:iCs w:val="0"/>
                <w:color w:val="auto"/>
                <w:kern w:val="2"/>
                <w:sz w:val="24"/>
                <w:szCs w:val="24"/>
                <w:highlight w:val="none"/>
                <w:u w:val="none"/>
                <w:lang w:val="en-US" w:eastAsia="zh-CN" w:bidi="ar"/>
              </w:rPr>
              <w:t>796,562.96</w:t>
            </w:r>
          </w:p>
        </w:tc>
        <w:tc>
          <w:tcPr>
            <w:tcW w:w="1559" w:type="dxa"/>
            <w:shd w:val="solid" w:color="FFFFFF" w:fill="auto"/>
            <w:noWrap w:val="0"/>
            <w:vAlign w:val="center"/>
          </w:tcPr>
          <w:p w14:paraId="418C3845">
            <w:pPr>
              <w:widowControl/>
              <w:shd w:val="solid" w:color="FFFFFF" w:fill="auto"/>
              <w:autoSpaceDN w:val="0"/>
              <w:jc w:val="right"/>
              <w:textAlignment w:val="center"/>
              <w:rPr>
                <w:rFonts w:hint="default" w:ascii="Times New Roman" w:hAnsi="Times New Roman" w:eastAsia="宋体" w:cs="Times New Roman"/>
                <w:b/>
                <w:bCs/>
                <w:color w:val="auto"/>
                <w:szCs w:val="24"/>
                <w:highlight w:val="none"/>
                <w:u w:val="none"/>
                <w:lang w:val="en-US" w:eastAsia="zh-CN" w:bidi="ar"/>
              </w:rPr>
            </w:pPr>
          </w:p>
        </w:tc>
        <w:tc>
          <w:tcPr>
            <w:tcW w:w="1559" w:type="dxa"/>
            <w:shd w:val="solid" w:color="FFFFFF" w:fill="auto"/>
            <w:noWrap w:val="0"/>
            <w:vAlign w:val="center"/>
          </w:tcPr>
          <w:p w14:paraId="2CF22983">
            <w:pPr>
              <w:shd w:val="solid" w:color="FFFFFF" w:fill="auto"/>
              <w:autoSpaceDN w:val="0"/>
              <w:jc w:val="right"/>
              <w:textAlignment w:val="center"/>
              <w:rPr>
                <w:rFonts w:hint="eastAsia" w:ascii="Times New Roman" w:hAnsi="Times New Roman" w:eastAsia="宋体" w:cs="Times New Roman"/>
                <w:b/>
                <w:bCs/>
                <w:color w:val="auto"/>
                <w:szCs w:val="24"/>
                <w:highlight w:val="none"/>
                <w:lang w:val="en-US" w:eastAsia="zh-CN"/>
              </w:rPr>
            </w:pPr>
          </w:p>
        </w:tc>
        <w:tc>
          <w:tcPr>
            <w:tcW w:w="1783" w:type="dxa"/>
            <w:shd w:val="solid" w:color="FFFFFF" w:fill="auto"/>
            <w:noWrap w:val="0"/>
            <w:vAlign w:val="center"/>
          </w:tcPr>
          <w:p w14:paraId="19CFC491">
            <w:pPr>
              <w:shd w:val="solid" w:color="FFFFFF" w:fill="auto"/>
              <w:autoSpaceDN w:val="0"/>
              <w:jc w:val="right"/>
              <w:textAlignment w:val="center"/>
              <w:rPr>
                <w:rFonts w:hint="default" w:ascii="Times New Roman" w:hAnsi="Times New Roman" w:eastAsia="宋体" w:cs="Times New Roman"/>
                <w:b/>
                <w:bCs/>
                <w:color w:val="auto"/>
                <w:szCs w:val="24"/>
                <w:highlight w:val="none"/>
                <w:lang w:val="en-US" w:eastAsia="zh-CN"/>
              </w:rPr>
            </w:pPr>
            <w:r>
              <w:rPr>
                <w:rFonts w:hint="default" w:ascii="Times New Roman" w:hAnsi="Times New Roman" w:eastAsia="宋体" w:cs="Times New Roman"/>
                <w:b/>
                <w:bCs/>
                <w:color w:val="auto"/>
                <w:szCs w:val="24"/>
                <w:highlight w:val="none"/>
                <w:lang w:val="en-US" w:eastAsia="zh-CN"/>
              </w:rPr>
              <w:t>41</w:t>
            </w:r>
            <w:r>
              <w:rPr>
                <w:rFonts w:hint="eastAsia" w:ascii="Times New Roman" w:hAnsi="Times New Roman" w:eastAsia="宋体" w:cs="Times New Roman"/>
                <w:b/>
                <w:bCs/>
                <w:color w:val="auto"/>
                <w:szCs w:val="24"/>
                <w:highlight w:val="none"/>
                <w:lang w:val="en-US" w:eastAsia="zh-CN"/>
              </w:rPr>
              <w:t>,1</w:t>
            </w:r>
            <w:r>
              <w:rPr>
                <w:rFonts w:hint="default" w:ascii="Times New Roman" w:hAnsi="Times New Roman" w:eastAsia="宋体" w:cs="Times New Roman"/>
                <w:b/>
                <w:bCs/>
                <w:color w:val="auto"/>
                <w:szCs w:val="24"/>
                <w:highlight w:val="none"/>
                <w:lang w:val="en-US" w:eastAsia="zh-CN"/>
              </w:rPr>
              <w:t>58</w:t>
            </w:r>
          </w:p>
        </w:tc>
      </w:tr>
    </w:tbl>
    <w:p w14:paraId="78C45C16">
      <w:pPr>
        <w:keepNext w:val="0"/>
        <w:keepLines w:val="0"/>
        <w:pageBreakBefore w:val="0"/>
        <w:widowControl w:val="0"/>
        <w:numPr>
          <w:ilvl w:val="0"/>
          <w:numId w:val="2"/>
        </w:numPr>
        <w:tabs>
          <w:tab w:val="left" w:pos="0"/>
          <w:tab w:val="left" w:pos="4680"/>
        </w:tabs>
        <w:kinsoku/>
        <w:wordWrap/>
        <w:overflowPunct/>
        <w:topLinePunct w:val="0"/>
        <w:autoSpaceDE/>
        <w:autoSpaceDN/>
        <w:bidi w:val="0"/>
        <w:adjustRightInd/>
        <w:snapToGrid/>
        <w:spacing w:before="313" w:beforeLines="100" w:after="156" w:afterLines="50" w:line="360" w:lineRule="auto"/>
        <w:ind w:firstLine="480" w:firstLineChars="200"/>
        <w:textAlignment w:val="auto"/>
        <w:rPr>
          <w:rFonts w:hint="eastAsia" w:ascii="Times New Roman" w:hAnsi="Times New Roman" w:eastAsia="宋体" w:cs="Times New Roman"/>
          <w:szCs w:val="24"/>
          <w:highlight w:val="none"/>
          <w:lang w:eastAsia="zh-Hans"/>
        </w:rPr>
      </w:pPr>
      <w:r>
        <w:rPr>
          <w:rFonts w:hint="eastAsia" w:ascii="Times New Roman" w:hAnsi="Times New Roman" w:eastAsia="宋体" w:cs="Times New Roman"/>
          <w:szCs w:val="24"/>
          <w:highlight w:val="none"/>
          <w:lang w:eastAsia="zh-Hans"/>
        </w:rPr>
        <w:t>北交所IPO发行公司情况</w:t>
      </w:r>
    </w:p>
    <w:tbl>
      <w:tblPr>
        <w:tblStyle w:val="7"/>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394"/>
        <w:gridCol w:w="1721"/>
        <w:gridCol w:w="1575"/>
        <w:gridCol w:w="1575"/>
        <w:gridCol w:w="1785"/>
      </w:tblGrid>
      <w:tr w14:paraId="2CC1A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blHeader/>
          <w:jc w:val="center"/>
        </w:trPr>
        <w:tc>
          <w:tcPr>
            <w:tcW w:w="1238" w:type="dxa"/>
            <w:shd w:val="solid" w:color="C0C0C0" w:fill="auto"/>
            <w:noWrap w:val="0"/>
            <w:vAlign w:val="center"/>
          </w:tcPr>
          <w:p w14:paraId="75E5FC43">
            <w:pPr>
              <w:shd w:val="solid" w:color="C0C0C0" w:fill="auto"/>
              <w:autoSpaceDN w:val="0"/>
              <w:jc w:val="center"/>
              <w:textAlignment w:val="center"/>
              <w:rPr>
                <w:rFonts w:ascii="Times New Roman" w:hAnsi="Times New Roman" w:eastAsia="宋体"/>
                <w:b/>
                <w:bCs/>
                <w:color w:val="auto"/>
                <w:szCs w:val="24"/>
              </w:rPr>
            </w:pPr>
            <w:r>
              <w:rPr>
                <w:rFonts w:ascii="Times New Roman" w:hAnsi="Times New Roman" w:eastAsia="宋体"/>
                <w:b/>
                <w:color w:val="auto"/>
                <w:szCs w:val="24"/>
                <w:shd w:val="clear" w:color="auto" w:fill="C0C0C0"/>
              </w:rPr>
              <w:t>代码</w:t>
            </w:r>
          </w:p>
        </w:tc>
        <w:tc>
          <w:tcPr>
            <w:tcW w:w="1394" w:type="dxa"/>
            <w:shd w:val="solid" w:color="C0C0C0" w:fill="auto"/>
            <w:noWrap w:val="0"/>
            <w:vAlign w:val="center"/>
          </w:tcPr>
          <w:p w14:paraId="2BF60914">
            <w:pPr>
              <w:shd w:val="solid" w:color="C0C0C0" w:fill="auto"/>
              <w:autoSpaceDN w:val="0"/>
              <w:jc w:val="center"/>
              <w:textAlignment w:val="center"/>
              <w:rPr>
                <w:rFonts w:ascii="Times New Roman" w:hAnsi="Times New Roman" w:eastAsia="宋体"/>
                <w:b/>
                <w:bCs/>
                <w:color w:val="auto"/>
                <w:szCs w:val="24"/>
              </w:rPr>
            </w:pPr>
            <w:r>
              <w:rPr>
                <w:rFonts w:ascii="Times New Roman" w:hAnsi="Times New Roman" w:eastAsia="宋体"/>
                <w:b/>
                <w:color w:val="auto"/>
                <w:szCs w:val="24"/>
                <w:shd w:val="clear" w:color="auto" w:fill="C0C0C0"/>
              </w:rPr>
              <w:t>股票简称</w:t>
            </w:r>
          </w:p>
        </w:tc>
        <w:tc>
          <w:tcPr>
            <w:tcW w:w="1721" w:type="dxa"/>
            <w:shd w:val="solid" w:color="C0C0C0" w:fill="auto"/>
            <w:noWrap w:val="0"/>
            <w:vAlign w:val="center"/>
          </w:tcPr>
          <w:p w14:paraId="57DBB8D9">
            <w:pPr>
              <w:shd w:val="solid" w:color="C0C0C0" w:fill="auto"/>
              <w:autoSpaceDN w:val="0"/>
              <w:jc w:val="center"/>
              <w:textAlignment w:val="center"/>
              <w:rPr>
                <w:rFonts w:ascii="Times New Roman" w:hAnsi="Times New Roman" w:eastAsia="宋体"/>
                <w:b/>
                <w:bCs/>
                <w:color w:val="auto"/>
                <w:szCs w:val="24"/>
              </w:rPr>
            </w:pPr>
            <w:r>
              <w:rPr>
                <w:rFonts w:ascii="Times New Roman" w:hAnsi="Times New Roman" w:eastAsia="宋体"/>
                <w:b/>
                <w:color w:val="auto"/>
                <w:szCs w:val="24"/>
                <w:shd w:val="clear" w:color="auto" w:fill="C0C0C0"/>
              </w:rPr>
              <w:t>募集资金总额</w:t>
            </w:r>
            <w:r>
              <w:rPr>
                <w:rFonts w:hint="eastAsia" w:ascii="Times New Roman" w:hAnsi="Times New Roman" w:eastAsia="宋体"/>
                <w:b/>
                <w:color w:val="auto"/>
                <w:szCs w:val="24"/>
                <w:shd w:val="clear" w:color="auto" w:fill="C0C0C0"/>
              </w:rPr>
              <w:t>（万元）</w:t>
            </w:r>
          </w:p>
        </w:tc>
        <w:tc>
          <w:tcPr>
            <w:tcW w:w="1575" w:type="dxa"/>
            <w:shd w:val="solid" w:color="C0C0C0" w:fill="auto"/>
            <w:noWrap w:val="0"/>
            <w:vAlign w:val="center"/>
          </w:tcPr>
          <w:p w14:paraId="104F7696">
            <w:pPr>
              <w:shd w:val="solid" w:color="C0C0C0" w:fill="auto"/>
              <w:autoSpaceDN w:val="0"/>
              <w:jc w:val="center"/>
              <w:textAlignment w:val="center"/>
              <w:rPr>
                <w:rFonts w:ascii="Times New Roman" w:hAnsi="Times New Roman" w:eastAsia="宋体"/>
                <w:b/>
                <w:bCs/>
                <w:color w:val="auto"/>
                <w:szCs w:val="24"/>
              </w:rPr>
            </w:pPr>
            <w:r>
              <w:rPr>
                <w:rFonts w:ascii="Times New Roman" w:hAnsi="Times New Roman" w:eastAsia="宋体"/>
                <w:b/>
                <w:color w:val="auto"/>
                <w:szCs w:val="24"/>
                <w:shd w:val="clear" w:color="auto" w:fill="C0C0C0"/>
              </w:rPr>
              <w:t>上市日期</w:t>
            </w:r>
          </w:p>
        </w:tc>
        <w:tc>
          <w:tcPr>
            <w:tcW w:w="1575" w:type="dxa"/>
            <w:shd w:val="solid" w:color="C0C0C0" w:fill="auto"/>
            <w:noWrap w:val="0"/>
            <w:vAlign w:val="center"/>
          </w:tcPr>
          <w:p w14:paraId="7A5DE4C4">
            <w:pPr>
              <w:shd w:val="solid" w:color="C0C0C0" w:fill="auto"/>
              <w:autoSpaceDN w:val="0"/>
              <w:jc w:val="center"/>
              <w:textAlignment w:val="center"/>
              <w:rPr>
                <w:rFonts w:ascii="Times New Roman" w:hAnsi="Times New Roman" w:eastAsia="宋体"/>
                <w:b/>
                <w:bCs/>
                <w:color w:val="auto"/>
                <w:szCs w:val="24"/>
              </w:rPr>
            </w:pPr>
            <w:r>
              <w:rPr>
                <w:rFonts w:ascii="Times New Roman" w:hAnsi="Times New Roman" w:eastAsia="宋体"/>
                <w:b/>
                <w:color w:val="auto"/>
                <w:szCs w:val="24"/>
                <w:shd w:val="clear" w:color="auto" w:fill="C0C0C0"/>
              </w:rPr>
              <w:t>发行价</w:t>
            </w:r>
            <w:r>
              <w:rPr>
                <w:rFonts w:hint="eastAsia" w:ascii="Times New Roman" w:hAnsi="Times New Roman" w:eastAsia="宋体"/>
                <w:b/>
                <w:color w:val="auto"/>
                <w:szCs w:val="24"/>
                <w:shd w:val="clear" w:color="auto" w:fill="C0C0C0"/>
              </w:rPr>
              <w:t>（元）</w:t>
            </w:r>
          </w:p>
        </w:tc>
        <w:tc>
          <w:tcPr>
            <w:tcW w:w="1785" w:type="dxa"/>
            <w:shd w:val="solid" w:color="C0C0C0" w:fill="auto"/>
            <w:noWrap w:val="0"/>
            <w:vAlign w:val="center"/>
          </w:tcPr>
          <w:p w14:paraId="6E4A5E20">
            <w:pPr>
              <w:shd w:val="solid" w:color="C0C0C0" w:fill="auto"/>
              <w:autoSpaceDN w:val="0"/>
              <w:jc w:val="center"/>
              <w:textAlignment w:val="center"/>
              <w:rPr>
                <w:rFonts w:ascii="Times New Roman" w:hAnsi="Times New Roman" w:eastAsia="宋体"/>
                <w:b/>
                <w:bCs/>
                <w:color w:val="auto"/>
                <w:szCs w:val="24"/>
              </w:rPr>
            </w:pPr>
            <w:r>
              <w:rPr>
                <w:rFonts w:ascii="Times New Roman" w:hAnsi="Times New Roman" w:eastAsia="宋体"/>
                <w:b/>
                <w:color w:val="auto"/>
                <w:szCs w:val="24"/>
                <w:shd w:val="clear" w:color="auto" w:fill="C0C0C0"/>
              </w:rPr>
              <w:t>发行量</w:t>
            </w:r>
            <w:r>
              <w:rPr>
                <w:rFonts w:hint="eastAsia" w:ascii="Times New Roman" w:hAnsi="Times New Roman" w:eastAsia="宋体"/>
                <w:b/>
                <w:color w:val="auto"/>
                <w:szCs w:val="24"/>
                <w:shd w:val="clear" w:color="auto" w:fill="C0C0C0"/>
              </w:rPr>
              <w:t>（万股）</w:t>
            </w:r>
          </w:p>
        </w:tc>
      </w:tr>
      <w:tr w14:paraId="1DF10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clear" w:color="C0C0C0" w:fill="auto"/>
            <w:noWrap w:val="0"/>
            <w:vAlign w:val="center"/>
          </w:tcPr>
          <w:p w14:paraId="599F4F05">
            <w:pPr>
              <w:shd w:val="solid" w:color="FFFFFF" w:fill="auto"/>
              <w:autoSpaceDN w:val="0"/>
              <w:jc w:val="center"/>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920011</w:t>
            </w:r>
          </w:p>
        </w:tc>
        <w:tc>
          <w:tcPr>
            <w:tcW w:w="1394" w:type="dxa"/>
            <w:shd w:val="clear" w:color="C0C0C0" w:fill="auto"/>
            <w:noWrap w:val="0"/>
            <w:vAlign w:val="center"/>
          </w:tcPr>
          <w:p w14:paraId="3B8AB7AE">
            <w:pPr>
              <w:shd w:val="solid" w:color="FFFFFF" w:fill="auto"/>
              <w:autoSpaceDN w:val="0"/>
              <w:jc w:val="center"/>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晨光电机</w:t>
            </w:r>
          </w:p>
        </w:tc>
        <w:tc>
          <w:tcPr>
            <w:tcW w:w="1721" w:type="dxa"/>
            <w:shd w:val="clear" w:color="C0C0C0" w:fill="auto"/>
            <w:noWrap w:val="0"/>
            <w:vAlign w:val="center"/>
          </w:tcPr>
          <w:p w14:paraId="39BBDCB6">
            <w:pPr>
              <w:keepNext w:val="0"/>
              <w:keepLines w:val="0"/>
              <w:widowControl/>
              <w:suppressLineNumbers w:val="0"/>
              <w:shd w:val="solid" w:color="FFFFFF" w:fill="auto"/>
              <w:autoSpaceDN w:val="0"/>
              <w:jc w:val="right"/>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i w:val="0"/>
                <w:iCs w:val="0"/>
                <w:color w:val="auto"/>
                <w:kern w:val="2"/>
                <w:sz w:val="24"/>
                <w:szCs w:val="24"/>
                <w:highlight w:val="none"/>
                <w:u w:val="none"/>
                <w:lang w:val="en-US" w:eastAsia="zh-CN" w:bidi="ar"/>
              </w:rPr>
              <w:t>32</w:t>
            </w:r>
            <w:r>
              <w:rPr>
                <w:rFonts w:hint="eastAsia" w:ascii="Times New Roman" w:hAnsi="Times New Roman" w:eastAsia="宋体" w:cs="Times New Roman"/>
                <w:i w:val="0"/>
                <w:iCs w:val="0"/>
                <w:color w:val="auto"/>
                <w:kern w:val="2"/>
                <w:sz w:val="24"/>
                <w:szCs w:val="24"/>
                <w:highlight w:val="none"/>
                <w:u w:val="none"/>
                <w:lang w:val="en-US" w:eastAsia="zh-CN" w:bidi="ar"/>
              </w:rPr>
              <w:t>,</w:t>
            </w:r>
            <w:r>
              <w:rPr>
                <w:rFonts w:hint="default" w:ascii="Times New Roman" w:hAnsi="Times New Roman" w:eastAsia="宋体" w:cs="Times New Roman"/>
                <w:i w:val="0"/>
                <w:iCs w:val="0"/>
                <w:color w:val="auto"/>
                <w:kern w:val="2"/>
                <w:sz w:val="24"/>
                <w:szCs w:val="24"/>
                <w:highlight w:val="none"/>
                <w:u w:val="none"/>
                <w:lang w:val="en-US" w:eastAsia="zh-CN" w:bidi="ar"/>
              </w:rPr>
              <w:t>038.5</w:t>
            </w:r>
            <w:r>
              <w:rPr>
                <w:rFonts w:hint="eastAsia" w:ascii="Times New Roman" w:hAnsi="Times New Roman" w:eastAsia="宋体" w:cs="Times New Roman"/>
                <w:i w:val="0"/>
                <w:iCs w:val="0"/>
                <w:color w:val="auto"/>
                <w:kern w:val="2"/>
                <w:sz w:val="24"/>
                <w:szCs w:val="24"/>
                <w:highlight w:val="none"/>
                <w:u w:val="none"/>
                <w:lang w:val="en-US" w:eastAsia="zh-CN" w:bidi="ar"/>
              </w:rPr>
              <w:t>0</w:t>
            </w:r>
          </w:p>
        </w:tc>
        <w:tc>
          <w:tcPr>
            <w:tcW w:w="1575" w:type="dxa"/>
            <w:shd w:val="clear" w:color="C0C0C0" w:fill="auto"/>
            <w:noWrap w:val="0"/>
            <w:vAlign w:val="center"/>
          </w:tcPr>
          <w:p w14:paraId="00A49290">
            <w:pPr>
              <w:shd w:val="solid" w:color="FFFFFF" w:fill="auto"/>
              <w:autoSpaceDN w:val="0"/>
              <w:jc w:val="center"/>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2026-04-08</w:t>
            </w:r>
          </w:p>
        </w:tc>
        <w:tc>
          <w:tcPr>
            <w:tcW w:w="1575" w:type="dxa"/>
            <w:shd w:val="clear" w:color="C0C0C0" w:fill="auto"/>
            <w:noWrap w:val="0"/>
            <w:vAlign w:val="center"/>
          </w:tcPr>
          <w:p w14:paraId="3761FD32">
            <w:pPr>
              <w:shd w:val="solid" w:color="FFFFFF" w:fill="auto"/>
              <w:autoSpaceDN w:val="0"/>
              <w:jc w:val="right"/>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15.5</w:t>
            </w:r>
            <w:r>
              <w:rPr>
                <w:rFonts w:hint="eastAsia" w:ascii="Times New Roman" w:hAnsi="Times New Roman" w:eastAsia="宋体" w:cs="Times New Roman"/>
                <w:color w:val="auto"/>
                <w:szCs w:val="24"/>
                <w:highlight w:val="none"/>
                <w:lang w:val="en-US" w:eastAsia="zh-CN"/>
              </w:rPr>
              <w:t>0</w:t>
            </w:r>
          </w:p>
        </w:tc>
        <w:tc>
          <w:tcPr>
            <w:tcW w:w="1785" w:type="dxa"/>
            <w:shd w:val="clear" w:color="C0C0C0" w:fill="auto"/>
            <w:noWrap w:val="0"/>
            <w:vAlign w:val="center"/>
          </w:tcPr>
          <w:p w14:paraId="3892C585">
            <w:pPr>
              <w:shd w:val="solid" w:color="FFFFFF" w:fill="auto"/>
              <w:autoSpaceDN w:val="0"/>
              <w:jc w:val="right"/>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 xml:space="preserve">2,067 </w:t>
            </w:r>
          </w:p>
        </w:tc>
      </w:tr>
      <w:tr w14:paraId="65A07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clear" w:color="C0C0C0" w:fill="auto"/>
            <w:noWrap w:val="0"/>
            <w:vAlign w:val="center"/>
          </w:tcPr>
          <w:p w14:paraId="39D95DFB">
            <w:pPr>
              <w:shd w:val="solid" w:color="FFFFFF" w:fill="auto"/>
              <w:autoSpaceDN w:val="0"/>
              <w:jc w:val="center"/>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920181</w:t>
            </w:r>
          </w:p>
        </w:tc>
        <w:tc>
          <w:tcPr>
            <w:tcW w:w="1394" w:type="dxa"/>
            <w:shd w:val="clear" w:color="C0C0C0" w:fill="auto"/>
            <w:noWrap w:val="0"/>
            <w:vAlign w:val="center"/>
          </w:tcPr>
          <w:p w14:paraId="35CD2C7C">
            <w:pPr>
              <w:shd w:val="solid" w:color="FFFFFF" w:fill="auto"/>
              <w:autoSpaceDN w:val="0"/>
              <w:jc w:val="center"/>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赛英电子</w:t>
            </w:r>
          </w:p>
        </w:tc>
        <w:tc>
          <w:tcPr>
            <w:tcW w:w="1721" w:type="dxa"/>
            <w:shd w:val="clear" w:color="C0C0C0" w:fill="auto"/>
            <w:noWrap w:val="0"/>
            <w:vAlign w:val="center"/>
          </w:tcPr>
          <w:p w14:paraId="69473158">
            <w:pPr>
              <w:keepNext w:val="0"/>
              <w:keepLines w:val="0"/>
              <w:widowControl/>
              <w:suppressLineNumbers w:val="0"/>
              <w:shd w:val="solid" w:color="FFFFFF" w:fill="auto"/>
              <w:autoSpaceDN w:val="0"/>
              <w:jc w:val="right"/>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i w:val="0"/>
                <w:iCs w:val="0"/>
                <w:color w:val="auto"/>
                <w:kern w:val="2"/>
                <w:sz w:val="24"/>
                <w:szCs w:val="24"/>
                <w:highlight w:val="none"/>
                <w:u w:val="none"/>
                <w:lang w:val="en-US" w:eastAsia="zh-CN" w:bidi="ar"/>
              </w:rPr>
              <w:t>30</w:t>
            </w:r>
            <w:r>
              <w:rPr>
                <w:rFonts w:hint="eastAsia" w:ascii="Times New Roman" w:hAnsi="Times New Roman" w:eastAsia="宋体" w:cs="Times New Roman"/>
                <w:i w:val="0"/>
                <w:iCs w:val="0"/>
                <w:color w:val="auto"/>
                <w:kern w:val="2"/>
                <w:sz w:val="24"/>
                <w:szCs w:val="24"/>
                <w:highlight w:val="none"/>
                <w:u w:val="none"/>
                <w:lang w:val="en-US" w:eastAsia="zh-CN" w:bidi="ar"/>
              </w:rPr>
              <w:t>,</w:t>
            </w:r>
            <w:r>
              <w:rPr>
                <w:rFonts w:hint="default" w:ascii="Times New Roman" w:hAnsi="Times New Roman" w:eastAsia="宋体" w:cs="Times New Roman"/>
                <w:i w:val="0"/>
                <w:iCs w:val="0"/>
                <w:color w:val="auto"/>
                <w:kern w:val="2"/>
                <w:sz w:val="24"/>
                <w:szCs w:val="24"/>
                <w:highlight w:val="none"/>
                <w:u w:val="none"/>
                <w:lang w:val="en-US" w:eastAsia="zh-CN" w:bidi="ar"/>
              </w:rPr>
              <w:t>240</w:t>
            </w:r>
            <w:r>
              <w:rPr>
                <w:rFonts w:hint="eastAsia" w:ascii="Times New Roman" w:hAnsi="Times New Roman" w:eastAsia="宋体" w:cs="Times New Roman"/>
                <w:i w:val="0"/>
                <w:iCs w:val="0"/>
                <w:color w:val="auto"/>
                <w:kern w:val="2"/>
                <w:sz w:val="24"/>
                <w:szCs w:val="24"/>
                <w:highlight w:val="none"/>
                <w:u w:val="none"/>
                <w:lang w:val="en-US" w:eastAsia="zh-CN" w:bidi="ar"/>
              </w:rPr>
              <w:t>.00</w:t>
            </w:r>
          </w:p>
        </w:tc>
        <w:tc>
          <w:tcPr>
            <w:tcW w:w="1575" w:type="dxa"/>
            <w:shd w:val="clear" w:color="C0C0C0" w:fill="auto"/>
            <w:noWrap w:val="0"/>
            <w:vAlign w:val="center"/>
          </w:tcPr>
          <w:p w14:paraId="01506B8D">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2026-04-10</w:t>
            </w:r>
          </w:p>
        </w:tc>
        <w:tc>
          <w:tcPr>
            <w:tcW w:w="1575" w:type="dxa"/>
            <w:shd w:val="clear" w:color="C0C0C0" w:fill="auto"/>
            <w:noWrap w:val="0"/>
            <w:vAlign w:val="center"/>
          </w:tcPr>
          <w:p w14:paraId="54563257">
            <w:pPr>
              <w:shd w:val="solid" w:color="FFFFFF" w:fill="auto"/>
              <w:autoSpaceDN w:val="0"/>
              <w:jc w:val="right"/>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28</w:t>
            </w:r>
            <w:r>
              <w:rPr>
                <w:rFonts w:hint="eastAsia" w:ascii="Times New Roman" w:hAnsi="Times New Roman" w:eastAsia="宋体" w:cs="Times New Roman"/>
                <w:color w:val="auto"/>
                <w:szCs w:val="24"/>
                <w:highlight w:val="none"/>
                <w:lang w:val="en-US" w:eastAsia="zh-CN"/>
              </w:rPr>
              <w:t>.00</w:t>
            </w:r>
          </w:p>
        </w:tc>
        <w:tc>
          <w:tcPr>
            <w:tcW w:w="1785" w:type="dxa"/>
            <w:shd w:val="clear" w:color="C0C0C0" w:fill="auto"/>
            <w:noWrap w:val="0"/>
            <w:vAlign w:val="center"/>
          </w:tcPr>
          <w:p w14:paraId="099E32A9">
            <w:pPr>
              <w:shd w:val="solid" w:color="FFFFFF" w:fill="auto"/>
              <w:autoSpaceDN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 xml:space="preserve">1,080 </w:t>
            </w:r>
          </w:p>
        </w:tc>
      </w:tr>
      <w:tr w14:paraId="721B6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clear" w:color="C0C0C0" w:fill="auto"/>
            <w:noWrap w:val="0"/>
            <w:vAlign w:val="center"/>
          </w:tcPr>
          <w:p w14:paraId="48AEBAE8">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920012</w:t>
            </w:r>
          </w:p>
        </w:tc>
        <w:tc>
          <w:tcPr>
            <w:tcW w:w="1394" w:type="dxa"/>
            <w:shd w:val="clear" w:color="C0C0C0" w:fill="auto"/>
            <w:noWrap w:val="0"/>
            <w:vAlign w:val="center"/>
          </w:tcPr>
          <w:p w14:paraId="04AB19E0">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Hans"/>
              </w:rPr>
            </w:pPr>
            <w:r>
              <w:rPr>
                <w:rFonts w:hint="default" w:ascii="Times New Roman" w:hAnsi="Times New Roman" w:eastAsia="宋体" w:cs="Times New Roman"/>
                <w:color w:val="auto"/>
                <w:szCs w:val="24"/>
                <w:highlight w:val="none"/>
                <w:lang w:val="en-US" w:eastAsia="zh-CN"/>
              </w:rPr>
              <w:t>创达新材</w:t>
            </w:r>
          </w:p>
        </w:tc>
        <w:tc>
          <w:tcPr>
            <w:tcW w:w="1721" w:type="dxa"/>
            <w:shd w:val="clear" w:color="C0C0C0" w:fill="auto"/>
            <w:noWrap w:val="0"/>
            <w:vAlign w:val="center"/>
          </w:tcPr>
          <w:p w14:paraId="0DB0000F">
            <w:pPr>
              <w:keepNext w:val="0"/>
              <w:keepLines w:val="0"/>
              <w:widowControl/>
              <w:suppressLineNumbers w:val="0"/>
              <w:shd w:val="solid" w:color="FFFFFF" w:fill="auto"/>
              <w:autoSpaceDN w:val="0"/>
              <w:jc w:val="right"/>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i w:val="0"/>
                <w:iCs w:val="0"/>
                <w:color w:val="auto"/>
                <w:kern w:val="2"/>
                <w:sz w:val="24"/>
                <w:szCs w:val="24"/>
                <w:highlight w:val="none"/>
                <w:u w:val="none"/>
                <w:lang w:val="en-US" w:eastAsia="zh-CN" w:bidi="ar"/>
              </w:rPr>
              <w:t>24</w:t>
            </w:r>
            <w:r>
              <w:rPr>
                <w:rFonts w:hint="eastAsia" w:ascii="Times New Roman" w:hAnsi="Times New Roman" w:eastAsia="宋体" w:cs="Times New Roman"/>
                <w:i w:val="0"/>
                <w:iCs w:val="0"/>
                <w:color w:val="auto"/>
                <w:kern w:val="2"/>
                <w:sz w:val="24"/>
                <w:szCs w:val="24"/>
                <w:highlight w:val="none"/>
                <w:u w:val="none"/>
                <w:lang w:val="en-US" w:eastAsia="zh-CN" w:bidi="ar"/>
              </w:rPr>
              <w:t>,</w:t>
            </w:r>
            <w:r>
              <w:rPr>
                <w:rFonts w:hint="default" w:ascii="Times New Roman" w:hAnsi="Times New Roman" w:eastAsia="宋体" w:cs="Times New Roman"/>
                <w:i w:val="0"/>
                <w:iCs w:val="0"/>
                <w:color w:val="auto"/>
                <w:kern w:val="2"/>
                <w:sz w:val="24"/>
                <w:szCs w:val="24"/>
                <w:highlight w:val="none"/>
                <w:u w:val="none"/>
                <w:lang w:val="en-US" w:eastAsia="zh-CN" w:bidi="ar"/>
              </w:rPr>
              <w:t>142.14</w:t>
            </w:r>
          </w:p>
        </w:tc>
        <w:tc>
          <w:tcPr>
            <w:tcW w:w="1575" w:type="dxa"/>
            <w:shd w:val="clear" w:color="C0C0C0" w:fill="auto"/>
            <w:noWrap w:val="0"/>
            <w:vAlign w:val="center"/>
          </w:tcPr>
          <w:p w14:paraId="2155E89B">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2026-04-13</w:t>
            </w:r>
          </w:p>
        </w:tc>
        <w:tc>
          <w:tcPr>
            <w:tcW w:w="1575" w:type="dxa"/>
            <w:shd w:val="clear" w:color="C0C0C0" w:fill="auto"/>
            <w:noWrap w:val="0"/>
            <w:vAlign w:val="center"/>
          </w:tcPr>
          <w:p w14:paraId="51E918F1">
            <w:pPr>
              <w:shd w:val="solid" w:color="FFFFFF" w:fill="auto"/>
              <w:autoSpaceDN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19.58</w:t>
            </w:r>
          </w:p>
        </w:tc>
        <w:tc>
          <w:tcPr>
            <w:tcW w:w="1785" w:type="dxa"/>
            <w:shd w:val="clear" w:color="C0C0C0" w:fill="auto"/>
            <w:noWrap w:val="0"/>
            <w:vAlign w:val="center"/>
          </w:tcPr>
          <w:p w14:paraId="58C69CB9">
            <w:pPr>
              <w:shd w:val="solid" w:color="FFFFFF" w:fill="auto"/>
              <w:autoSpaceDN w:val="0"/>
              <w:jc w:val="right"/>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 xml:space="preserve">1,233 </w:t>
            </w:r>
          </w:p>
        </w:tc>
      </w:tr>
      <w:tr w14:paraId="3F072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clear" w:color="C0C0C0" w:fill="auto"/>
            <w:noWrap w:val="0"/>
            <w:vAlign w:val="center"/>
          </w:tcPr>
          <w:p w14:paraId="19040039">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920177</w:t>
            </w:r>
          </w:p>
        </w:tc>
        <w:tc>
          <w:tcPr>
            <w:tcW w:w="1394" w:type="dxa"/>
            <w:shd w:val="clear" w:color="C0C0C0" w:fill="auto"/>
            <w:noWrap w:val="0"/>
            <w:vAlign w:val="center"/>
          </w:tcPr>
          <w:p w14:paraId="0E93EA6E">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Hans"/>
              </w:rPr>
            </w:pPr>
            <w:r>
              <w:rPr>
                <w:rFonts w:hint="default" w:ascii="Times New Roman" w:hAnsi="Times New Roman" w:eastAsia="宋体" w:cs="Times New Roman"/>
                <w:color w:val="auto"/>
                <w:szCs w:val="24"/>
                <w:highlight w:val="none"/>
                <w:lang w:val="en-US" w:eastAsia="zh-CN"/>
              </w:rPr>
              <w:t>恒道科技</w:t>
            </w:r>
          </w:p>
        </w:tc>
        <w:tc>
          <w:tcPr>
            <w:tcW w:w="1721" w:type="dxa"/>
            <w:shd w:val="clear" w:color="C0C0C0" w:fill="auto"/>
            <w:noWrap w:val="0"/>
            <w:vAlign w:val="center"/>
          </w:tcPr>
          <w:p w14:paraId="205B2F67">
            <w:pPr>
              <w:keepNext w:val="0"/>
              <w:keepLines w:val="0"/>
              <w:widowControl/>
              <w:suppressLineNumbers w:val="0"/>
              <w:shd w:val="solid" w:color="FFFFFF" w:fill="auto"/>
              <w:autoSpaceDN w:val="0"/>
              <w:jc w:val="right"/>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i w:val="0"/>
                <w:iCs w:val="0"/>
                <w:color w:val="auto"/>
                <w:kern w:val="2"/>
                <w:sz w:val="24"/>
                <w:szCs w:val="24"/>
                <w:highlight w:val="none"/>
                <w:u w:val="none"/>
                <w:lang w:val="en-US" w:eastAsia="zh-CN" w:bidi="ar"/>
              </w:rPr>
              <w:t>28</w:t>
            </w:r>
            <w:r>
              <w:rPr>
                <w:rFonts w:hint="eastAsia" w:ascii="Times New Roman" w:hAnsi="Times New Roman" w:eastAsia="宋体" w:cs="Times New Roman"/>
                <w:i w:val="0"/>
                <w:iCs w:val="0"/>
                <w:color w:val="auto"/>
                <w:kern w:val="2"/>
                <w:sz w:val="24"/>
                <w:szCs w:val="24"/>
                <w:highlight w:val="none"/>
                <w:u w:val="none"/>
                <w:lang w:val="en-US" w:eastAsia="zh-CN" w:bidi="ar"/>
              </w:rPr>
              <w:t>,</w:t>
            </w:r>
            <w:r>
              <w:rPr>
                <w:rFonts w:hint="default" w:ascii="Times New Roman" w:hAnsi="Times New Roman" w:eastAsia="宋体" w:cs="Times New Roman"/>
                <w:i w:val="0"/>
                <w:iCs w:val="0"/>
                <w:color w:val="auto"/>
                <w:kern w:val="2"/>
                <w:sz w:val="24"/>
                <w:szCs w:val="24"/>
                <w:highlight w:val="none"/>
                <w:u w:val="none"/>
                <w:lang w:val="en-US" w:eastAsia="zh-CN" w:bidi="ar"/>
              </w:rPr>
              <w:t>514.4</w:t>
            </w:r>
            <w:r>
              <w:rPr>
                <w:rFonts w:hint="eastAsia" w:ascii="Times New Roman" w:hAnsi="Times New Roman" w:eastAsia="宋体" w:cs="Times New Roman"/>
                <w:i w:val="0"/>
                <w:iCs w:val="0"/>
                <w:color w:val="auto"/>
                <w:kern w:val="2"/>
                <w:sz w:val="24"/>
                <w:szCs w:val="24"/>
                <w:highlight w:val="none"/>
                <w:u w:val="none"/>
                <w:lang w:val="en-US" w:eastAsia="zh-CN" w:bidi="ar"/>
              </w:rPr>
              <w:t>0</w:t>
            </w:r>
          </w:p>
        </w:tc>
        <w:tc>
          <w:tcPr>
            <w:tcW w:w="1575" w:type="dxa"/>
            <w:shd w:val="clear" w:color="C0C0C0" w:fill="auto"/>
            <w:noWrap w:val="0"/>
            <w:vAlign w:val="center"/>
          </w:tcPr>
          <w:p w14:paraId="35480241">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2026-04-16</w:t>
            </w:r>
          </w:p>
        </w:tc>
        <w:tc>
          <w:tcPr>
            <w:tcW w:w="1575" w:type="dxa"/>
            <w:shd w:val="clear" w:color="C0C0C0" w:fill="auto"/>
            <w:noWrap w:val="0"/>
            <w:vAlign w:val="center"/>
          </w:tcPr>
          <w:p w14:paraId="63EC16FC">
            <w:pPr>
              <w:shd w:val="solid" w:color="FFFFFF" w:fill="auto"/>
              <w:autoSpaceDN w:val="0"/>
              <w:jc w:val="right"/>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21.8</w:t>
            </w:r>
            <w:r>
              <w:rPr>
                <w:rFonts w:hint="eastAsia" w:ascii="Times New Roman" w:hAnsi="Times New Roman" w:eastAsia="宋体" w:cs="Times New Roman"/>
                <w:color w:val="auto"/>
                <w:szCs w:val="24"/>
                <w:highlight w:val="none"/>
                <w:lang w:val="en-US" w:eastAsia="zh-CN"/>
              </w:rPr>
              <w:t>0</w:t>
            </w:r>
          </w:p>
        </w:tc>
        <w:tc>
          <w:tcPr>
            <w:tcW w:w="1785" w:type="dxa"/>
            <w:shd w:val="clear" w:color="C0C0C0" w:fill="auto"/>
            <w:noWrap w:val="0"/>
            <w:vAlign w:val="center"/>
          </w:tcPr>
          <w:p w14:paraId="36668066">
            <w:pPr>
              <w:shd w:val="solid" w:color="FFFFFF" w:fill="auto"/>
              <w:autoSpaceDN w:val="0"/>
              <w:jc w:val="right"/>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 xml:space="preserve">1,308 </w:t>
            </w:r>
          </w:p>
        </w:tc>
      </w:tr>
      <w:tr w14:paraId="13B32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clear" w:color="C0C0C0" w:fill="auto"/>
            <w:noWrap w:val="0"/>
            <w:vAlign w:val="center"/>
          </w:tcPr>
          <w:p w14:paraId="541CEB85">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920191</w:t>
            </w:r>
          </w:p>
        </w:tc>
        <w:tc>
          <w:tcPr>
            <w:tcW w:w="1394" w:type="dxa"/>
            <w:shd w:val="clear" w:color="C0C0C0" w:fill="auto"/>
            <w:noWrap w:val="0"/>
            <w:vAlign w:val="center"/>
          </w:tcPr>
          <w:p w14:paraId="403C1D83">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Hans"/>
              </w:rPr>
            </w:pPr>
            <w:r>
              <w:rPr>
                <w:rFonts w:hint="default" w:ascii="Times New Roman" w:hAnsi="Times New Roman" w:eastAsia="宋体" w:cs="Times New Roman"/>
                <w:color w:val="auto"/>
                <w:szCs w:val="24"/>
                <w:highlight w:val="none"/>
                <w:lang w:val="en-US" w:eastAsia="zh-CN"/>
              </w:rPr>
              <w:t>瑞尔竞达</w:t>
            </w:r>
          </w:p>
        </w:tc>
        <w:tc>
          <w:tcPr>
            <w:tcW w:w="1721" w:type="dxa"/>
            <w:shd w:val="clear" w:color="C0C0C0" w:fill="auto"/>
            <w:noWrap w:val="0"/>
            <w:vAlign w:val="center"/>
          </w:tcPr>
          <w:p w14:paraId="55B73DB7">
            <w:pPr>
              <w:keepNext w:val="0"/>
              <w:keepLines w:val="0"/>
              <w:widowControl/>
              <w:suppressLineNumbers w:val="0"/>
              <w:shd w:val="solid" w:color="FFFFFF" w:fill="auto"/>
              <w:autoSpaceDN w:val="0"/>
              <w:jc w:val="right"/>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i w:val="0"/>
                <w:iCs w:val="0"/>
                <w:color w:val="auto"/>
                <w:kern w:val="2"/>
                <w:sz w:val="24"/>
                <w:szCs w:val="24"/>
                <w:highlight w:val="none"/>
                <w:u w:val="none"/>
                <w:lang w:val="en-US" w:eastAsia="zh-CN" w:bidi="ar"/>
              </w:rPr>
              <w:t>34</w:t>
            </w:r>
            <w:r>
              <w:rPr>
                <w:rFonts w:hint="eastAsia" w:ascii="Times New Roman" w:hAnsi="Times New Roman" w:eastAsia="宋体" w:cs="Times New Roman"/>
                <w:i w:val="0"/>
                <w:iCs w:val="0"/>
                <w:color w:val="auto"/>
                <w:kern w:val="2"/>
                <w:sz w:val="24"/>
                <w:szCs w:val="24"/>
                <w:highlight w:val="none"/>
                <w:u w:val="none"/>
                <w:lang w:val="en-US" w:eastAsia="zh-CN" w:bidi="ar"/>
              </w:rPr>
              <w:t>,</w:t>
            </w:r>
            <w:r>
              <w:rPr>
                <w:rFonts w:hint="default" w:ascii="Times New Roman" w:hAnsi="Times New Roman" w:eastAsia="宋体" w:cs="Times New Roman"/>
                <w:i w:val="0"/>
                <w:iCs w:val="0"/>
                <w:color w:val="auto"/>
                <w:kern w:val="2"/>
                <w:sz w:val="24"/>
                <w:szCs w:val="24"/>
                <w:highlight w:val="none"/>
                <w:u w:val="none"/>
                <w:lang w:val="en-US" w:eastAsia="zh-CN" w:bidi="ar"/>
              </w:rPr>
              <w:t>193.85</w:t>
            </w:r>
          </w:p>
        </w:tc>
        <w:tc>
          <w:tcPr>
            <w:tcW w:w="1575" w:type="dxa"/>
            <w:shd w:val="clear" w:color="C0C0C0" w:fill="auto"/>
            <w:noWrap w:val="0"/>
            <w:vAlign w:val="center"/>
          </w:tcPr>
          <w:p w14:paraId="735DB832">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2026-04-20</w:t>
            </w:r>
          </w:p>
        </w:tc>
        <w:tc>
          <w:tcPr>
            <w:tcW w:w="1575" w:type="dxa"/>
            <w:shd w:val="clear" w:color="C0C0C0" w:fill="auto"/>
            <w:noWrap w:val="0"/>
            <w:vAlign w:val="center"/>
          </w:tcPr>
          <w:p w14:paraId="305903F9">
            <w:pPr>
              <w:shd w:val="solid" w:color="FFFFFF" w:fill="auto"/>
              <w:autoSpaceDN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7.71</w:t>
            </w:r>
          </w:p>
        </w:tc>
        <w:tc>
          <w:tcPr>
            <w:tcW w:w="1785" w:type="dxa"/>
            <w:shd w:val="clear" w:color="C0C0C0" w:fill="auto"/>
            <w:noWrap w:val="0"/>
            <w:vAlign w:val="center"/>
          </w:tcPr>
          <w:p w14:paraId="50DB4878">
            <w:pPr>
              <w:shd w:val="solid" w:color="FFFFFF" w:fill="auto"/>
              <w:autoSpaceDN w:val="0"/>
              <w:jc w:val="right"/>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 xml:space="preserve">4,435 </w:t>
            </w:r>
          </w:p>
        </w:tc>
      </w:tr>
      <w:tr w14:paraId="7A010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clear" w:color="C0C0C0" w:fill="auto"/>
            <w:noWrap w:val="0"/>
            <w:vAlign w:val="center"/>
          </w:tcPr>
          <w:p w14:paraId="15D997EB">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920125</w:t>
            </w:r>
          </w:p>
        </w:tc>
        <w:tc>
          <w:tcPr>
            <w:tcW w:w="1394" w:type="dxa"/>
            <w:shd w:val="clear" w:color="C0C0C0" w:fill="auto"/>
            <w:noWrap w:val="0"/>
            <w:vAlign w:val="center"/>
          </w:tcPr>
          <w:p w14:paraId="46265FF4">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Hans"/>
              </w:rPr>
            </w:pPr>
            <w:r>
              <w:rPr>
                <w:rFonts w:hint="default" w:ascii="Times New Roman" w:hAnsi="Times New Roman" w:eastAsia="宋体" w:cs="Times New Roman"/>
                <w:color w:val="auto"/>
                <w:szCs w:val="24"/>
                <w:highlight w:val="none"/>
                <w:lang w:val="en-US" w:eastAsia="zh-CN"/>
              </w:rPr>
              <w:t>鸿仕达</w:t>
            </w:r>
          </w:p>
        </w:tc>
        <w:tc>
          <w:tcPr>
            <w:tcW w:w="1721" w:type="dxa"/>
            <w:shd w:val="clear" w:color="C0C0C0" w:fill="auto"/>
            <w:noWrap w:val="0"/>
            <w:vAlign w:val="center"/>
          </w:tcPr>
          <w:p w14:paraId="18EA8573">
            <w:pPr>
              <w:keepNext w:val="0"/>
              <w:keepLines w:val="0"/>
              <w:widowControl/>
              <w:suppressLineNumbers w:val="0"/>
              <w:shd w:val="solid" w:color="FFFFFF" w:fill="auto"/>
              <w:autoSpaceDN w:val="0"/>
              <w:jc w:val="right"/>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i w:val="0"/>
                <w:iCs w:val="0"/>
                <w:color w:val="auto"/>
                <w:kern w:val="2"/>
                <w:sz w:val="24"/>
                <w:szCs w:val="24"/>
                <w:highlight w:val="none"/>
                <w:u w:val="none"/>
                <w:lang w:val="en-US" w:eastAsia="zh-CN" w:bidi="ar"/>
              </w:rPr>
              <w:t>22</w:t>
            </w:r>
            <w:r>
              <w:rPr>
                <w:rFonts w:hint="eastAsia" w:ascii="Times New Roman" w:hAnsi="Times New Roman" w:eastAsia="宋体" w:cs="Times New Roman"/>
                <w:i w:val="0"/>
                <w:iCs w:val="0"/>
                <w:color w:val="auto"/>
                <w:kern w:val="2"/>
                <w:sz w:val="24"/>
                <w:szCs w:val="24"/>
                <w:highlight w:val="none"/>
                <w:u w:val="none"/>
                <w:lang w:val="en-US" w:eastAsia="zh-CN" w:bidi="ar"/>
              </w:rPr>
              <w:t>,</w:t>
            </w:r>
            <w:r>
              <w:rPr>
                <w:rFonts w:hint="default" w:ascii="Times New Roman" w:hAnsi="Times New Roman" w:eastAsia="宋体" w:cs="Times New Roman"/>
                <w:i w:val="0"/>
                <w:iCs w:val="0"/>
                <w:color w:val="auto"/>
                <w:kern w:val="2"/>
                <w:sz w:val="24"/>
                <w:szCs w:val="24"/>
                <w:highlight w:val="none"/>
                <w:u w:val="none"/>
                <w:lang w:val="en-US" w:eastAsia="zh-CN" w:bidi="ar"/>
              </w:rPr>
              <w:t>369.5</w:t>
            </w:r>
            <w:r>
              <w:rPr>
                <w:rFonts w:hint="eastAsia" w:ascii="Times New Roman" w:hAnsi="Times New Roman" w:eastAsia="宋体" w:cs="Times New Roman"/>
                <w:i w:val="0"/>
                <w:iCs w:val="0"/>
                <w:color w:val="auto"/>
                <w:kern w:val="2"/>
                <w:sz w:val="24"/>
                <w:szCs w:val="24"/>
                <w:highlight w:val="none"/>
                <w:u w:val="none"/>
                <w:lang w:val="en-US" w:eastAsia="zh-CN" w:bidi="ar"/>
              </w:rPr>
              <w:t>0</w:t>
            </w:r>
          </w:p>
        </w:tc>
        <w:tc>
          <w:tcPr>
            <w:tcW w:w="1575" w:type="dxa"/>
            <w:shd w:val="clear" w:color="C0C0C0" w:fill="auto"/>
            <w:noWrap w:val="0"/>
            <w:vAlign w:val="center"/>
          </w:tcPr>
          <w:p w14:paraId="2593FBC2">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2026-04-24</w:t>
            </w:r>
          </w:p>
        </w:tc>
        <w:tc>
          <w:tcPr>
            <w:tcW w:w="1575" w:type="dxa"/>
            <w:shd w:val="clear" w:color="C0C0C0" w:fill="auto"/>
            <w:noWrap w:val="0"/>
            <w:vAlign w:val="center"/>
          </w:tcPr>
          <w:p w14:paraId="79030D5F">
            <w:pPr>
              <w:shd w:val="solid" w:color="FFFFFF" w:fill="auto"/>
              <w:autoSpaceDN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16.57</w:t>
            </w:r>
          </w:p>
        </w:tc>
        <w:tc>
          <w:tcPr>
            <w:tcW w:w="1785" w:type="dxa"/>
            <w:shd w:val="clear" w:color="C0C0C0" w:fill="auto"/>
            <w:noWrap w:val="0"/>
            <w:vAlign w:val="center"/>
          </w:tcPr>
          <w:p w14:paraId="58B46C99">
            <w:pPr>
              <w:shd w:val="solid" w:color="FFFFFF" w:fill="auto"/>
              <w:autoSpaceDN w:val="0"/>
              <w:jc w:val="right"/>
              <w:textAlignment w:val="center"/>
              <w:rPr>
                <w:rFonts w:hint="default"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 xml:space="preserve">1,350 </w:t>
            </w:r>
          </w:p>
        </w:tc>
      </w:tr>
      <w:tr w14:paraId="27087B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clear" w:color="C0C0C0" w:fill="auto"/>
            <w:noWrap w:val="0"/>
            <w:vAlign w:val="center"/>
          </w:tcPr>
          <w:p w14:paraId="3B63BDD0">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920156</w:t>
            </w:r>
          </w:p>
        </w:tc>
        <w:tc>
          <w:tcPr>
            <w:tcW w:w="1394" w:type="dxa"/>
            <w:shd w:val="clear" w:color="C0C0C0" w:fill="auto"/>
            <w:noWrap w:val="0"/>
            <w:vAlign w:val="center"/>
          </w:tcPr>
          <w:p w14:paraId="1AC57E19">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海昌智能</w:t>
            </w:r>
          </w:p>
        </w:tc>
        <w:tc>
          <w:tcPr>
            <w:tcW w:w="1721" w:type="dxa"/>
            <w:shd w:val="clear" w:color="C0C0C0" w:fill="auto"/>
            <w:noWrap w:val="0"/>
            <w:vAlign w:val="center"/>
          </w:tcPr>
          <w:p w14:paraId="624696AB">
            <w:pPr>
              <w:keepNext w:val="0"/>
              <w:keepLines w:val="0"/>
              <w:widowControl/>
              <w:suppressLineNumbers w:val="0"/>
              <w:shd w:val="solid" w:color="FFFFFF" w:fill="auto"/>
              <w:autoSpaceDN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i w:val="0"/>
                <w:iCs w:val="0"/>
                <w:color w:val="auto"/>
                <w:kern w:val="2"/>
                <w:sz w:val="24"/>
                <w:szCs w:val="24"/>
                <w:highlight w:val="none"/>
                <w:u w:val="none"/>
                <w:lang w:val="en-US" w:eastAsia="zh-CN" w:bidi="ar"/>
              </w:rPr>
              <w:t>50</w:t>
            </w:r>
            <w:r>
              <w:rPr>
                <w:rFonts w:hint="eastAsia" w:ascii="Times New Roman" w:hAnsi="Times New Roman" w:eastAsia="宋体" w:cs="Times New Roman"/>
                <w:i w:val="0"/>
                <w:iCs w:val="0"/>
                <w:color w:val="auto"/>
                <w:kern w:val="2"/>
                <w:sz w:val="24"/>
                <w:szCs w:val="24"/>
                <w:highlight w:val="none"/>
                <w:u w:val="none"/>
                <w:lang w:val="en-US" w:eastAsia="zh-CN" w:bidi="ar"/>
              </w:rPr>
              <w:t>,</w:t>
            </w:r>
            <w:r>
              <w:rPr>
                <w:rFonts w:hint="default" w:ascii="Times New Roman" w:hAnsi="Times New Roman" w:eastAsia="宋体" w:cs="Times New Roman"/>
                <w:i w:val="0"/>
                <w:iCs w:val="0"/>
                <w:color w:val="auto"/>
                <w:kern w:val="2"/>
                <w:sz w:val="24"/>
                <w:szCs w:val="24"/>
                <w:highlight w:val="none"/>
                <w:u w:val="none"/>
                <w:lang w:val="en-US" w:eastAsia="zh-CN" w:bidi="ar"/>
              </w:rPr>
              <w:t>483.16</w:t>
            </w:r>
          </w:p>
        </w:tc>
        <w:tc>
          <w:tcPr>
            <w:tcW w:w="1575" w:type="dxa"/>
            <w:shd w:val="clear" w:color="C0C0C0" w:fill="auto"/>
            <w:noWrap w:val="0"/>
            <w:vAlign w:val="center"/>
          </w:tcPr>
          <w:p w14:paraId="48093C51">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2026-04-27</w:t>
            </w:r>
          </w:p>
        </w:tc>
        <w:tc>
          <w:tcPr>
            <w:tcW w:w="1575" w:type="dxa"/>
            <w:shd w:val="clear" w:color="C0C0C0" w:fill="auto"/>
            <w:noWrap w:val="0"/>
            <w:vAlign w:val="center"/>
          </w:tcPr>
          <w:p w14:paraId="14791A90">
            <w:pPr>
              <w:shd w:val="solid" w:color="FFFFFF" w:fill="auto"/>
              <w:autoSpaceDN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20.93</w:t>
            </w:r>
          </w:p>
        </w:tc>
        <w:tc>
          <w:tcPr>
            <w:tcW w:w="1785" w:type="dxa"/>
            <w:shd w:val="clear" w:color="C0C0C0" w:fill="auto"/>
            <w:noWrap w:val="0"/>
            <w:vAlign w:val="center"/>
          </w:tcPr>
          <w:p w14:paraId="53C8FFFB">
            <w:pPr>
              <w:shd w:val="solid" w:color="FFFFFF" w:fill="auto"/>
              <w:autoSpaceDN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 xml:space="preserve">2,412 </w:t>
            </w:r>
          </w:p>
        </w:tc>
      </w:tr>
      <w:tr w14:paraId="1A4ED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clear" w:color="C0C0C0" w:fill="auto"/>
            <w:noWrap w:val="0"/>
            <w:vAlign w:val="center"/>
          </w:tcPr>
          <w:p w14:paraId="595ABCD7">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920186</w:t>
            </w:r>
          </w:p>
        </w:tc>
        <w:tc>
          <w:tcPr>
            <w:tcW w:w="1394" w:type="dxa"/>
            <w:shd w:val="clear" w:color="C0C0C0" w:fill="auto"/>
            <w:noWrap w:val="0"/>
            <w:vAlign w:val="center"/>
          </w:tcPr>
          <w:p w14:paraId="4E2879AE">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中科仪</w:t>
            </w:r>
          </w:p>
        </w:tc>
        <w:tc>
          <w:tcPr>
            <w:tcW w:w="1721" w:type="dxa"/>
            <w:shd w:val="clear" w:color="C0C0C0" w:fill="auto"/>
            <w:noWrap w:val="0"/>
            <w:vAlign w:val="center"/>
          </w:tcPr>
          <w:p w14:paraId="55DDD366">
            <w:pPr>
              <w:keepNext w:val="0"/>
              <w:keepLines w:val="0"/>
              <w:widowControl/>
              <w:suppressLineNumbers w:val="0"/>
              <w:shd w:val="solid" w:color="FFFFFF" w:fill="auto"/>
              <w:autoSpaceDN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i w:val="0"/>
                <w:iCs w:val="0"/>
                <w:color w:val="auto"/>
                <w:kern w:val="2"/>
                <w:sz w:val="24"/>
                <w:szCs w:val="24"/>
                <w:highlight w:val="none"/>
                <w:u w:val="none"/>
                <w:lang w:val="en-US" w:eastAsia="zh-CN" w:bidi="ar"/>
              </w:rPr>
              <w:t>84</w:t>
            </w:r>
            <w:r>
              <w:rPr>
                <w:rFonts w:hint="eastAsia" w:ascii="Times New Roman" w:hAnsi="Times New Roman" w:eastAsia="宋体" w:cs="Times New Roman"/>
                <w:i w:val="0"/>
                <w:iCs w:val="0"/>
                <w:color w:val="auto"/>
                <w:kern w:val="2"/>
                <w:sz w:val="24"/>
                <w:szCs w:val="24"/>
                <w:highlight w:val="none"/>
                <w:u w:val="none"/>
                <w:lang w:val="en-US" w:eastAsia="zh-CN" w:bidi="ar"/>
              </w:rPr>
              <w:t>,</w:t>
            </w:r>
            <w:r>
              <w:rPr>
                <w:rFonts w:hint="default" w:ascii="Times New Roman" w:hAnsi="Times New Roman" w:eastAsia="宋体" w:cs="Times New Roman"/>
                <w:i w:val="0"/>
                <w:iCs w:val="0"/>
                <w:color w:val="auto"/>
                <w:kern w:val="2"/>
                <w:sz w:val="24"/>
                <w:szCs w:val="24"/>
                <w:highlight w:val="none"/>
                <w:u w:val="none"/>
                <w:lang w:val="en-US" w:eastAsia="zh-CN" w:bidi="ar"/>
              </w:rPr>
              <w:t>292</w:t>
            </w:r>
            <w:r>
              <w:rPr>
                <w:rFonts w:hint="eastAsia" w:ascii="Times New Roman" w:hAnsi="Times New Roman" w:eastAsia="宋体" w:cs="Times New Roman"/>
                <w:i w:val="0"/>
                <w:iCs w:val="0"/>
                <w:color w:val="auto"/>
                <w:kern w:val="2"/>
                <w:sz w:val="24"/>
                <w:szCs w:val="24"/>
                <w:highlight w:val="none"/>
                <w:u w:val="none"/>
                <w:lang w:val="en-US" w:eastAsia="zh-CN" w:bidi="ar"/>
              </w:rPr>
              <w:t>.00</w:t>
            </w:r>
          </w:p>
        </w:tc>
        <w:tc>
          <w:tcPr>
            <w:tcW w:w="1575" w:type="dxa"/>
            <w:shd w:val="clear" w:color="C0C0C0" w:fill="auto"/>
            <w:noWrap w:val="0"/>
            <w:vAlign w:val="center"/>
          </w:tcPr>
          <w:p w14:paraId="5263B351">
            <w:pPr>
              <w:shd w:val="solid" w:color="FFFFFF" w:fill="auto"/>
              <w:autoSpaceDN w:val="0"/>
              <w:jc w:val="center"/>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2026-04-29</w:t>
            </w:r>
          </w:p>
        </w:tc>
        <w:tc>
          <w:tcPr>
            <w:tcW w:w="1575" w:type="dxa"/>
            <w:shd w:val="clear" w:color="C0C0C0" w:fill="auto"/>
            <w:noWrap w:val="0"/>
            <w:vAlign w:val="center"/>
          </w:tcPr>
          <w:p w14:paraId="64CD4705">
            <w:pPr>
              <w:shd w:val="solid" w:color="FFFFFF" w:fill="auto"/>
              <w:autoSpaceDN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16.21</w:t>
            </w:r>
          </w:p>
        </w:tc>
        <w:tc>
          <w:tcPr>
            <w:tcW w:w="1785" w:type="dxa"/>
            <w:shd w:val="clear" w:color="C0C0C0" w:fill="auto"/>
            <w:noWrap w:val="0"/>
            <w:vAlign w:val="center"/>
          </w:tcPr>
          <w:p w14:paraId="10D88437">
            <w:pPr>
              <w:shd w:val="solid" w:color="FFFFFF" w:fill="auto"/>
              <w:autoSpaceDN w:val="0"/>
              <w:jc w:val="right"/>
              <w:textAlignment w:val="center"/>
              <w:rPr>
                <w:rFonts w:hint="eastAsia" w:ascii="Times New Roman" w:hAnsi="Times New Roman" w:eastAsia="宋体" w:cs="Times New Roman"/>
                <w:color w:val="auto"/>
                <w:szCs w:val="24"/>
                <w:highlight w:val="none"/>
                <w:lang w:val="en-US" w:eastAsia="zh-CN"/>
              </w:rPr>
            </w:pPr>
            <w:r>
              <w:rPr>
                <w:rFonts w:hint="default" w:ascii="Times New Roman" w:hAnsi="Times New Roman" w:eastAsia="宋体" w:cs="Times New Roman"/>
                <w:color w:val="auto"/>
                <w:szCs w:val="24"/>
                <w:highlight w:val="none"/>
                <w:lang w:val="en-US" w:eastAsia="zh-CN"/>
              </w:rPr>
              <w:t xml:space="preserve">5,200 </w:t>
            </w:r>
          </w:p>
        </w:tc>
      </w:tr>
      <w:tr w14:paraId="746A1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clear" w:color="C0C0C0" w:fill="auto"/>
            <w:noWrap w:val="0"/>
            <w:vAlign w:val="center"/>
          </w:tcPr>
          <w:p w14:paraId="646ED9B0">
            <w:pPr>
              <w:shd w:val="solid" w:color="FFFFFF" w:fill="auto"/>
              <w:autoSpaceDN w:val="0"/>
              <w:jc w:val="center"/>
              <w:textAlignment w:val="center"/>
              <w:rPr>
                <w:rFonts w:ascii="Times New Roman" w:hAnsi="Times New Roman" w:eastAsia="宋体"/>
                <w:b/>
                <w:bCs/>
                <w:color w:val="auto"/>
                <w:szCs w:val="24"/>
                <w:highlight w:val="none"/>
                <w:lang w:eastAsia="zh-Hans"/>
              </w:rPr>
            </w:pPr>
            <w:r>
              <w:rPr>
                <w:rFonts w:hint="default" w:ascii="Times New Roman" w:hAnsi="Times New Roman" w:eastAsia="宋体"/>
                <w:b/>
                <w:bCs/>
                <w:color w:val="auto"/>
                <w:szCs w:val="24"/>
                <w:highlight w:val="none"/>
                <w:shd w:val="clear" w:color="auto" w:fill="auto"/>
                <w:lang w:val="en-US" w:eastAsia="zh-Hans"/>
              </w:rPr>
              <w:t>总计</w:t>
            </w:r>
          </w:p>
        </w:tc>
        <w:tc>
          <w:tcPr>
            <w:tcW w:w="1394" w:type="dxa"/>
            <w:shd w:val="clear" w:color="C0C0C0" w:fill="auto"/>
            <w:noWrap w:val="0"/>
            <w:vAlign w:val="center"/>
          </w:tcPr>
          <w:p w14:paraId="4D8918AA">
            <w:pPr>
              <w:shd w:val="solid" w:color="FFFFFF" w:fill="auto"/>
              <w:autoSpaceDN w:val="0"/>
              <w:jc w:val="center"/>
              <w:textAlignment w:val="center"/>
              <w:rPr>
                <w:rFonts w:ascii="Times New Roman" w:hAnsi="Times New Roman" w:eastAsia="宋体"/>
                <w:b/>
                <w:bCs/>
                <w:color w:val="auto"/>
                <w:szCs w:val="24"/>
                <w:highlight w:val="none"/>
                <w:lang w:eastAsia="zh-Hans"/>
              </w:rPr>
            </w:pPr>
          </w:p>
        </w:tc>
        <w:tc>
          <w:tcPr>
            <w:tcW w:w="1721" w:type="dxa"/>
            <w:shd w:val="clear" w:color="C0C0C0" w:fill="auto"/>
            <w:noWrap w:val="0"/>
            <w:vAlign w:val="center"/>
          </w:tcPr>
          <w:p w14:paraId="472A0FD1">
            <w:pPr>
              <w:keepNext w:val="0"/>
              <w:keepLines w:val="0"/>
              <w:widowControl/>
              <w:suppressLineNumbers w:val="0"/>
              <w:shd w:val="solid" w:color="FFFFFF" w:fill="auto"/>
              <w:autoSpaceDN w:val="0"/>
              <w:jc w:val="right"/>
              <w:textAlignment w:val="center"/>
              <w:rPr>
                <w:rFonts w:hint="default" w:ascii="Times New Roman" w:hAnsi="Times New Roman" w:eastAsia="宋体"/>
                <w:b/>
                <w:bCs/>
                <w:color w:val="auto"/>
                <w:szCs w:val="24"/>
                <w:highlight w:val="none"/>
                <w:lang w:val="en-US" w:bidi="ar"/>
              </w:rPr>
            </w:pPr>
            <w:r>
              <w:rPr>
                <w:rFonts w:hint="default" w:ascii="Times New Roman" w:hAnsi="Times New Roman" w:eastAsia="宋体" w:cs="Times New Roman"/>
                <w:b/>
                <w:bCs/>
                <w:i w:val="0"/>
                <w:iCs w:val="0"/>
                <w:color w:val="auto"/>
                <w:kern w:val="2"/>
                <w:sz w:val="24"/>
                <w:szCs w:val="24"/>
                <w:highlight w:val="none"/>
                <w:u w:val="none"/>
                <w:lang w:val="en-US" w:eastAsia="zh-CN" w:bidi="ar"/>
              </w:rPr>
              <w:t>306</w:t>
            </w:r>
            <w:r>
              <w:rPr>
                <w:rFonts w:hint="eastAsia" w:ascii="Times New Roman" w:hAnsi="Times New Roman" w:eastAsia="宋体" w:cs="Times New Roman"/>
                <w:b/>
                <w:bCs/>
                <w:i w:val="0"/>
                <w:iCs w:val="0"/>
                <w:color w:val="auto"/>
                <w:kern w:val="2"/>
                <w:sz w:val="24"/>
                <w:szCs w:val="24"/>
                <w:highlight w:val="none"/>
                <w:u w:val="none"/>
                <w:lang w:val="en-US" w:eastAsia="zh-CN" w:bidi="ar"/>
              </w:rPr>
              <w:t>,</w:t>
            </w:r>
            <w:r>
              <w:rPr>
                <w:rFonts w:hint="default" w:ascii="Times New Roman" w:hAnsi="Times New Roman" w:eastAsia="宋体" w:cs="Times New Roman"/>
                <w:b/>
                <w:bCs/>
                <w:i w:val="0"/>
                <w:iCs w:val="0"/>
                <w:color w:val="auto"/>
                <w:kern w:val="2"/>
                <w:sz w:val="24"/>
                <w:szCs w:val="24"/>
                <w:highlight w:val="none"/>
                <w:u w:val="none"/>
                <w:lang w:val="en-US" w:eastAsia="zh-CN" w:bidi="ar"/>
              </w:rPr>
              <w:t>273.55</w:t>
            </w:r>
          </w:p>
        </w:tc>
        <w:tc>
          <w:tcPr>
            <w:tcW w:w="1575" w:type="dxa"/>
            <w:shd w:val="clear" w:color="C0C0C0" w:fill="auto"/>
            <w:noWrap w:val="0"/>
            <w:vAlign w:val="center"/>
          </w:tcPr>
          <w:p w14:paraId="16ADB389">
            <w:pPr>
              <w:shd w:val="solid" w:color="FFFFFF" w:fill="auto"/>
              <w:autoSpaceDN w:val="0"/>
              <w:jc w:val="center"/>
              <w:textAlignment w:val="center"/>
              <w:rPr>
                <w:rFonts w:ascii="Times New Roman" w:hAnsi="Times New Roman" w:eastAsia="宋体"/>
                <w:b/>
                <w:bCs/>
                <w:color w:val="auto"/>
                <w:szCs w:val="24"/>
                <w:highlight w:val="none"/>
              </w:rPr>
            </w:pPr>
          </w:p>
        </w:tc>
        <w:tc>
          <w:tcPr>
            <w:tcW w:w="1575" w:type="dxa"/>
            <w:shd w:val="clear" w:color="C0C0C0" w:fill="auto"/>
            <w:noWrap w:val="0"/>
            <w:vAlign w:val="center"/>
          </w:tcPr>
          <w:p w14:paraId="503CB635">
            <w:pPr>
              <w:shd w:val="solid" w:color="FFFFFF" w:fill="auto"/>
              <w:autoSpaceDN w:val="0"/>
              <w:jc w:val="center"/>
              <w:textAlignment w:val="center"/>
              <w:rPr>
                <w:rFonts w:ascii="Times New Roman" w:hAnsi="Times New Roman" w:eastAsia="宋体"/>
                <w:b/>
                <w:bCs/>
                <w:color w:val="auto"/>
                <w:szCs w:val="24"/>
                <w:highlight w:val="none"/>
              </w:rPr>
            </w:pPr>
          </w:p>
        </w:tc>
        <w:tc>
          <w:tcPr>
            <w:tcW w:w="1785" w:type="dxa"/>
            <w:shd w:val="clear" w:color="C0C0C0" w:fill="auto"/>
            <w:noWrap w:val="0"/>
            <w:vAlign w:val="center"/>
          </w:tcPr>
          <w:p w14:paraId="2D408A48">
            <w:pPr>
              <w:shd w:val="solid" w:color="FFFFFF" w:fill="auto"/>
              <w:autoSpaceDN w:val="0"/>
              <w:jc w:val="right"/>
              <w:textAlignment w:val="center"/>
              <w:rPr>
                <w:rFonts w:hint="default" w:ascii="Times New Roman" w:hAnsi="Times New Roman" w:eastAsia="宋体"/>
                <w:b/>
                <w:bCs/>
                <w:color w:val="auto"/>
                <w:szCs w:val="24"/>
                <w:highlight w:val="none"/>
                <w:lang w:val="en-US"/>
              </w:rPr>
            </w:pPr>
            <w:r>
              <w:rPr>
                <w:rFonts w:hint="eastAsia" w:ascii="Times New Roman" w:hAnsi="Times New Roman" w:eastAsia="宋体" w:cs="Times New Roman"/>
                <w:b/>
                <w:bCs/>
                <w:color w:val="auto"/>
                <w:kern w:val="2"/>
                <w:sz w:val="24"/>
                <w:szCs w:val="24"/>
                <w:highlight w:val="none"/>
                <w:shd w:val="clear" w:color="auto" w:fill="auto"/>
                <w:lang w:val="en-US" w:eastAsia="zh-CN" w:bidi="ar-SA"/>
              </w:rPr>
              <w:t>19</w:t>
            </w:r>
            <w:r>
              <w:rPr>
                <w:rFonts w:hint="default" w:ascii="Times New Roman" w:hAnsi="Times New Roman" w:eastAsia="宋体" w:cs="Times New Roman"/>
                <w:b/>
                <w:bCs/>
                <w:color w:val="auto"/>
                <w:kern w:val="2"/>
                <w:sz w:val="24"/>
                <w:szCs w:val="24"/>
                <w:highlight w:val="none"/>
                <w:shd w:val="clear" w:color="auto" w:fill="auto"/>
                <w:lang w:val="en-US" w:eastAsia="zh-CN" w:bidi="ar-SA"/>
              </w:rPr>
              <w:t>,</w:t>
            </w:r>
            <w:r>
              <w:rPr>
                <w:rFonts w:hint="eastAsia" w:ascii="Times New Roman" w:hAnsi="Times New Roman" w:eastAsia="宋体" w:cs="Times New Roman"/>
                <w:b/>
                <w:bCs/>
                <w:color w:val="auto"/>
                <w:kern w:val="2"/>
                <w:sz w:val="24"/>
                <w:szCs w:val="24"/>
                <w:highlight w:val="none"/>
                <w:shd w:val="clear" w:color="auto" w:fill="auto"/>
                <w:lang w:val="en-US" w:eastAsia="zh-CN" w:bidi="ar-SA"/>
              </w:rPr>
              <w:t>085</w:t>
            </w:r>
          </w:p>
        </w:tc>
      </w:tr>
    </w:tbl>
    <w:p w14:paraId="6CE62686">
      <w:pPr>
        <w:tabs>
          <w:tab w:val="left" w:pos="7560"/>
          <w:tab w:val="left" w:pos="8100"/>
        </w:tabs>
        <w:spacing w:after="0" w:afterLines="0" w:line="360" w:lineRule="auto"/>
        <w:ind w:firstLine="0" w:firstLineChars="0"/>
        <w:contextualSpacing/>
        <w:jc w:val="right"/>
        <w:rPr>
          <w:rFonts w:ascii="Times New Roman" w:hAnsi="Times New Roman" w:eastAsia="宋体"/>
          <w:color w:val="auto"/>
          <w:szCs w:val="24"/>
        </w:rPr>
      </w:pPr>
      <w:r>
        <w:rPr>
          <w:rFonts w:ascii="Times New Roman" w:hAnsi="Times New Roman" w:eastAsia="宋体"/>
          <w:color w:val="auto"/>
          <w:szCs w:val="24"/>
        </w:rPr>
        <w:t>上述信息来源：</w:t>
      </w:r>
      <w:r>
        <w:rPr>
          <w:rFonts w:ascii="Times New Roman" w:hAnsi="Times New Roman" w:eastAsia="宋体" w:cs="Times New Roman"/>
          <w:color w:val="auto"/>
          <w:szCs w:val="24"/>
        </w:rPr>
        <w:t>上交所网站 深交所网站</w:t>
      </w:r>
      <w:r>
        <w:rPr>
          <w:rFonts w:hint="eastAsia" w:ascii="Times New Roman" w:hAnsi="Times New Roman" w:eastAsia="宋体" w:cs="Times New Roman"/>
          <w:color w:val="auto"/>
          <w:szCs w:val="24"/>
          <w:lang w:val="en-US" w:eastAsia="zh-CN"/>
        </w:rPr>
        <w:t xml:space="preserve"> </w:t>
      </w:r>
      <w:r>
        <w:rPr>
          <w:rFonts w:hint="eastAsia" w:ascii="Times New Roman" w:hAnsi="Times New Roman" w:eastAsia="宋体"/>
          <w:color w:val="auto"/>
          <w:szCs w:val="24"/>
          <w:lang w:eastAsia="zh-Hans"/>
        </w:rPr>
        <w:t>北</w:t>
      </w:r>
      <w:r>
        <w:rPr>
          <w:rFonts w:ascii="Times New Roman" w:hAnsi="Times New Roman" w:eastAsia="宋体"/>
          <w:color w:val="auto"/>
          <w:szCs w:val="24"/>
        </w:rPr>
        <w:t>交所网站</w:t>
      </w:r>
    </w:p>
    <w:p w14:paraId="551D9C5E">
      <w:pPr>
        <w:keepNext w:val="0"/>
        <w:keepLines w:val="0"/>
        <w:pageBreakBefore w:val="0"/>
        <w:widowControl w:val="0"/>
        <w:numPr>
          <w:ilvl w:val="1"/>
          <w:numId w:val="1"/>
        </w:numPr>
        <w:tabs>
          <w:tab w:val="left" w:pos="0"/>
          <w:tab w:val="left" w:pos="840"/>
          <w:tab w:val="clear" w:pos="846"/>
        </w:tabs>
        <w:kinsoku/>
        <w:wordWrap/>
        <w:overflowPunct/>
        <w:topLinePunct w:val="0"/>
        <w:autoSpaceDE/>
        <w:autoSpaceDN/>
        <w:bidi w:val="0"/>
        <w:adjustRightInd/>
        <w:snapToGrid/>
        <w:spacing w:before="159" w:beforeLines="50" w:after="156" w:afterLines="50" w:line="360" w:lineRule="auto"/>
        <w:ind w:left="0" w:firstLine="480" w:firstLineChars="200"/>
        <w:textAlignment w:val="auto"/>
        <w:rPr>
          <w:rFonts w:ascii="Times New Roman" w:hAnsi="Times New Roman" w:eastAsia="宋体"/>
          <w:szCs w:val="24"/>
        </w:rPr>
      </w:pPr>
      <w:r>
        <w:rPr>
          <w:rFonts w:ascii="Times New Roman" w:hAnsi="Times New Roman" w:eastAsia="宋体"/>
          <w:szCs w:val="24"/>
        </w:rPr>
        <w:t>全国中小企业股份转让系统公司挂牌情况</w:t>
      </w:r>
    </w:p>
    <w:p w14:paraId="25B3C43B">
      <w:pPr>
        <w:widowControl/>
        <w:spacing w:after="156" w:afterLines="50" w:line="360" w:lineRule="auto"/>
        <w:ind w:firstLine="480" w:firstLineChars="200"/>
        <w:rPr>
          <w:rFonts w:ascii="Times New Roman" w:hAnsi="Times New Roman" w:eastAsia="宋体"/>
          <w:kern w:val="0"/>
        </w:rPr>
      </w:pPr>
      <w:r>
        <w:rPr>
          <w:rFonts w:ascii="Times New Roman" w:hAnsi="Times New Roman" w:eastAsia="宋体"/>
          <w:kern w:val="0"/>
        </w:rPr>
        <w:t>自202</w:t>
      </w:r>
      <w:r>
        <w:rPr>
          <w:rFonts w:hint="default" w:ascii="Times New Roman" w:hAnsi="Times New Roman" w:eastAsia="宋体"/>
          <w:kern w:val="0"/>
          <w:lang w:val="en-US"/>
        </w:rPr>
        <w:t>6</w:t>
      </w:r>
      <w:r>
        <w:rPr>
          <w:rFonts w:ascii="Times New Roman" w:hAnsi="Times New Roman" w:eastAsia="宋体"/>
          <w:kern w:val="0"/>
        </w:rPr>
        <w:t>年</w:t>
      </w:r>
      <w:r>
        <w:rPr>
          <w:rFonts w:hint="default" w:ascii="Times New Roman" w:hAnsi="Times New Roman" w:eastAsia="宋体"/>
          <w:kern w:val="0"/>
          <w:lang w:val="en-US"/>
        </w:rPr>
        <w:t>4</w:t>
      </w:r>
      <w:r>
        <w:rPr>
          <w:rFonts w:ascii="Times New Roman" w:hAnsi="Times New Roman" w:eastAsia="宋体"/>
          <w:kern w:val="0"/>
        </w:rPr>
        <w:t>月1日至202</w:t>
      </w:r>
      <w:r>
        <w:rPr>
          <w:rFonts w:hint="default" w:ascii="Times New Roman" w:hAnsi="Times New Roman" w:eastAsia="宋体"/>
          <w:kern w:val="0"/>
          <w:lang w:val="en-US"/>
        </w:rPr>
        <w:t>6</w:t>
      </w:r>
      <w:r>
        <w:rPr>
          <w:rFonts w:ascii="Times New Roman" w:hAnsi="Times New Roman" w:eastAsia="宋体"/>
          <w:kern w:val="0"/>
        </w:rPr>
        <w:t>年</w:t>
      </w:r>
      <w:r>
        <w:rPr>
          <w:rFonts w:hint="default" w:ascii="Times New Roman" w:hAnsi="Times New Roman" w:eastAsia="宋体"/>
          <w:kern w:val="0"/>
          <w:lang w:val="en-US"/>
        </w:rPr>
        <w:t>4</w:t>
      </w:r>
      <w:r>
        <w:rPr>
          <w:rFonts w:ascii="Times New Roman" w:hAnsi="Times New Roman" w:eastAsia="宋体"/>
          <w:kern w:val="0"/>
        </w:rPr>
        <w:t>月</w:t>
      </w:r>
      <w:r>
        <w:rPr>
          <w:rFonts w:hint="default" w:ascii="Times New Roman" w:hAnsi="Times New Roman" w:eastAsia="宋体"/>
          <w:kern w:val="0"/>
          <w:lang w:val="en-US"/>
        </w:rPr>
        <w:t>30</w:t>
      </w:r>
      <w:r>
        <w:rPr>
          <w:rFonts w:ascii="Times New Roman" w:hAnsi="Times New Roman" w:eastAsia="宋体"/>
          <w:kern w:val="0"/>
        </w:rPr>
        <w:t>日，全国中小企业股份转让系统新增挂牌公司</w:t>
      </w:r>
      <w:r>
        <w:rPr>
          <w:rFonts w:hint="eastAsia" w:ascii="Times New Roman" w:hAnsi="Times New Roman" w:eastAsia="宋体"/>
          <w:kern w:val="0"/>
        </w:rPr>
        <w:t>-</w:t>
      </w:r>
      <w:r>
        <w:rPr>
          <w:rFonts w:hint="eastAsia" w:ascii="Times New Roman" w:hAnsi="Times New Roman" w:eastAsia="宋体"/>
          <w:kern w:val="0"/>
          <w:lang w:val="en-US" w:eastAsia="zh-CN"/>
        </w:rPr>
        <w:t>50</w:t>
      </w:r>
      <w:r>
        <w:rPr>
          <w:rFonts w:ascii="Times New Roman" w:hAnsi="Times New Roman" w:eastAsia="宋体"/>
          <w:kern w:val="0"/>
        </w:rPr>
        <w:t>家，截</w:t>
      </w:r>
      <w:r>
        <w:rPr>
          <w:rFonts w:hint="eastAsia" w:ascii="Times New Roman" w:hAnsi="Times New Roman" w:eastAsia="宋体"/>
          <w:kern w:val="0"/>
          <w:lang w:val="en-US" w:eastAsia="zh-CN"/>
        </w:rPr>
        <w:t>至</w:t>
      </w:r>
      <w:r>
        <w:rPr>
          <w:rFonts w:ascii="Times New Roman" w:hAnsi="Times New Roman" w:eastAsia="宋体"/>
          <w:kern w:val="0"/>
        </w:rPr>
        <w:t>202</w:t>
      </w:r>
      <w:r>
        <w:rPr>
          <w:rFonts w:hint="eastAsia" w:ascii="Times New Roman" w:hAnsi="Times New Roman" w:eastAsia="宋体"/>
          <w:kern w:val="0"/>
          <w:lang w:val="en-US" w:eastAsia="zh-CN"/>
        </w:rPr>
        <w:t>6</w:t>
      </w:r>
      <w:r>
        <w:rPr>
          <w:rFonts w:ascii="Times New Roman" w:hAnsi="Times New Roman" w:eastAsia="宋体"/>
          <w:kern w:val="0"/>
        </w:rPr>
        <w:t>年</w:t>
      </w:r>
      <w:r>
        <w:rPr>
          <w:rFonts w:hint="eastAsia" w:ascii="Times New Roman" w:hAnsi="Times New Roman" w:eastAsia="宋体"/>
          <w:kern w:val="0"/>
          <w:lang w:val="en-US" w:eastAsia="zh-CN"/>
        </w:rPr>
        <w:t>4</w:t>
      </w:r>
      <w:r>
        <w:rPr>
          <w:rFonts w:ascii="Times New Roman" w:hAnsi="Times New Roman" w:eastAsia="宋体"/>
          <w:kern w:val="0"/>
        </w:rPr>
        <w:t>月</w:t>
      </w:r>
      <w:r>
        <w:rPr>
          <w:rFonts w:hint="eastAsia" w:ascii="Times New Roman" w:hAnsi="Times New Roman" w:eastAsia="宋体"/>
          <w:kern w:val="0"/>
          <w:lang w:val="en-US" w:eastAsia="zh-CN"/>
        </w:rPr>
        <w:t>30</w:t>
      </w:r>
      <w:r>
        <w:rPr>
          <w:rFonts w:ascii="Times New Roman" w:hAnsi="Times New Roman" w:eastAsia="宋体"/>
          <w:kern w:val="0"/>
        </w:rPr>
        <w:t>日，全国中小企业股份转让系统挂牌公司共计</w:t>
      </w:r>
      <w:r>
        <w:rPr>
          <w:rFonts w:hint="eastAsia" w:ascii="Times New Roman" w:hAnsi="Times New Roman" w:eastAsia="宋体"/>
          <w:kern w:val="0"/>
          <w:lang w:val="en-US" w:eastAsia="zh-CN"/>
        </w:rPr>
        <w:t>5,878</w:t>
      </w:r>
      <w:r>
        <w:rPr>
          <w:rFonts w:ascii="Times New Roman" w:hAnsi="Times New Roman" w:eastAsia="宋体"/>
          <w:kern w:val="0"/>
        </w:rPr>
        <w:t>家，其中，</w:t>
      </w:r>
      <w:r>
        <w:rPr>
          <w:rFonts w:hint="eastAsia" w:ascii="Times New Roman" w:hAnsi="Times New Roman" w:eastAsia="宋体"/>
          <w:kern w:val="0"/>
          <w:lang w:val="en-US" w:eastAsia="zh-Hans"/>
        </w:rPr>
        <w:t>创新层2</w:t>
      </w:r>
      <w:r>
        <w:rPr>
          <w:rFonts w:hint="eastAsia" w:ascii="Times New Roman" w:hAnsi="Times New Roman" w:eastAsia="宋体"/>
          <w:kern w:val="0"/>
          <w:lang w:val="en-US" w:eastAsia="zh-CN"/>
        </w:rPr>
        <w:t>,248</w:t>
      </w:r>
      <w:r>
        <w:rPr>
          <w:rFonts w:hint="eastAsia" w:ascii="Times New Roman" w:hAnsi="Times New Roman" w:eastAsia="宋体"/>
          <w:kern w:val="0"/>
          <w:lang w:val="en-US" w:eastAsia="zh-Hans"/>
        </w:rPr>
        <w:t>家（集合竞价</w:t>
      </w:r>
      <w:r>
        <w:rPr>
          <w:rFonts w:hint="eastAsia" w:ascii="Times New Roman" w:hAnsi="Times New Roman" w:eastAsia="宋体"/>
          <w:kern w:val="0"/>
          <w:lang w:val="en-US" w:eastAsia="zh-CN"/>
        </w:rPr>
        <w:t>2,120</w:t>
      </w:r>
      <w:r>
        <w:rPr>
          <w:rFonts w:hint="eastAsia" w:ascii="Times New Roman" w:hAnsi="Times New Roman" w:eastAsia="宋体"/>
          <w:kern w:val="0"/>
          <w:lang w:val="en-US" w:eastAsia="zh-Hans"/>
        </w:rPr>
        <w:t>家，做市</w:t>
      </w:r>
      <w:r>
        <w:rPr>
          <w:rFonts w:hint="eastAsia" w:ascii="Times New Roman" w:hAnsi="Times New Roman" w:eastAsia="宋体"/>
          <w:kern w:val="0"/>
          <w:lang w:val="en-US" w:eastAsia="zh-CN"/>
        </w:rPr>
        <w:t>128</w:t>
      </w:r>
      <w:r>
        <w:rPr>
          <w:rFonts w:hint="eastAsia" w:ascii="Times New Roman" w:hAnsi="Times New Roman" w:eastAsia="宋体"/>
          <w:kern w:val="0"/>
          <w:lang w:val="en-US" w:eastAsia="zh-Hans"/>
        </w:rPr>
        <w:t>家），基础层3</w:t>
      </w:r>
      <w:r>
        <w:rPr>
          <w:rFonts w:hint="eastAsia" w:ascii="Times New Roman" w:hAnsi="Times New Roman" w:eastAsia="宋体"/>
          <w:kern w:val="0"/>
          <w:lang w:val="en-US" w:eastAsia="zh-CN"/>
        </w:rPr>
        <w:t>,630</w:t>
      </w:r>
      <w:r>
        <w:rPr>
          <w:rFonts w:hint="eastAsia" w:ascii="Times New Roman" w:hAnsi="Times New Roman" w:eastAsia="宋体"/>
          <w:kern w:val="0"/>
          <w:lang w:val="en-US" w:eastAsia="zh-Hans"/>
        </w:rPr>
        <w:t>家（集合竞价</w:t>
      </w:r>
      <w:r>
        <w:rPr>
          <w:rFonts w:hint="eastAsia" w:ascii="Times New Roman" w:hAnsi="Times New Roman" w:eastAsia="宋体"/>
          <w:kern w:val="0"/>
          <w:lang w:val="en-US" w:eastAsia="zh-CN"/>
        </w:rPr>
        <w:t>3,574</w:t>
      </w:r>
      <w:r>
        <w:rPr>
          <w:rFonts w:hint="eastAsia" w:ascii="Times New Roman" w:hAnsi="Times New Roman" w:eastAsia="宋体"/>
          <w:kern w:val="0"/>
          <w:lang w:val="en-US" w:eastAsia="zh-Hans"/>
        </w:rPr>
        <w:t>家，做市</w:t>
      </w:r>
      <w:r>
        <w:rPr>
          <w:rFonts w:hint="eastAsia" w:ascii="Times New Roman" w:hAnsi="Times New Roman" w:eastAsia="宋体"/>
          <w:kern w:val="0"/>
          <w:lang w:val="en-US" w:eastAsia="zh-CN"/>
        </w:rPr>
        <w:t>56</w:t>
      </w:r>
      <w:r>
        <w:rPr>
          <w:rFonts w:hint="eastAsia" w:ascii="Times New Roman" w:hAnsi="Times New Roman" w:eastAsia="宋体"/>
          <w:kern w:val="0"/>
          <w:lang w:val="en-US" w:eastAsia="zh-Hans"/>
        </w:rPr>
        <w:t>家）</w:t>
      </w:r>
      <w:r>
        <w:rPr>
          <w:rFonts w:ascii="Times New Roman" w:hAnsi="Times New Roman" w:eastAsia="宋体"/>
          <w:kern w:val="0"/>
        </w:rPr>
        <w:t>。</w:t>
      </w:r>
    </w:p>
    <w:p w14:paraId="44582253">
      <w:pPr>
        <w:numPr>
          <w:ilvl w:val="1"/>
          <w:numId w:val="1"/>
        </w:numPr>
        <w:tabs>
          <w:tab w:val="left" w:pos="0"/>
          <w:tab w:val="left" w:pos="840"/>
          <w:tab w:val="clear" w:pos="846"/>
        </w:tabs>
        <w:spacing w:before="159" w:beforeLines="50" w:after="156" w:afterLines="50" w:line="360" w:lineRule="auto"/>
        <w:ind w:left="0" w:firstLine="480" w:firstLineChars="200"/>
        <w:rPr>
          <w:rFonts w:ascii="Times New Roman" w:hAnsi="Times New Roman" w:eastAsia="宋体" w:cs="Times New Roman"/>
          <w:color w:val="000000"/>
          <w:szCs w:val="24"/>
          <w:highlight w:val="none"/>
        </w:rPr>
      </w:pPr>
      <w:r>
        <w:rPr>
          <w:rFonts w:ascii="Times New Roman" w:hAnsi="Times New Roman" w:eastAsia="宋体" w:cs="Times New Roman"/>
          <w:color w:val="000000"/>
          <w:szCs w:val="24"/>
          <w:highlight w:val="none"/>
        </w:rPr>
        <w:t>债券发行统计</w:t>
      </w:r>
    </w:p>
    <w:p w14:paraId="3199F927">
      <w:pPr>
        <w:tabs>
          <w:tab w:val="left" w:pos="0"/>
          <w:tab w:val="left" w:pos="840"/>
        </w:tabs>
        <w:snapToGrid w:val="0"/>
        <w:spacing w:after="156" w:afterLines="50" w:line="360" w:lineRule="auto"/>
        <w:ind w:firstLine="480" w:firstLineChars="200"/>
        <w:rPr>
          <w:rFonts w:ascii="Times New Roman" w:hAnsi="Times New Roman" w:eastAsia="宋体"/>
          <w:szCs w:val="24"/>
        </w:rPr>
      </w:pPr>
      <w:r>
        <w:rPr>
          <w:rFonts w:hint="eastAsia" w:ascii="Times New Roman" w:hAnsi="Times New Roman" w:eastAsia="宋体"/>
          <w:szCs w:val="24"/>
        </w:rPr>
        <w:t>因上期资本市场信息未披露</w:t>
      </w:r>
      <w:r>
        <w:rPr>
          <w:rFonts w:hint="eastAsia" w:ascii="Times New Roman" w:hAnsi="Times New Roman" w:eastAsia="宋体"/>
          <w:color w:val="auto"/>
          <w:szCs w:val="24"/>
        </w:rPr>
        <w:t>202</w:t>
      </w:r>
      <w:r>
        <w:rPr>
          <w:rFonts w:hint="eastAsia" w:ascii="Times New Roman" w:hAnsi="Times New Roman" w:eastAsia="宋体"/>
          <w:color w:val="auto"/>
          <w:szCs w:val="24"/>
          <w:lang w:val="en-US" w:eastAsia="zh-CN"/>
        </w:rPr>
        <w:t>6</w:t>
      </w:r>
      <w:r>
        <w:rPr>
          <w:rFonts w:hint="eastAsia" w:ascii="Times New Roman" w:hAnsi="Times New Roman" w:eastAsia="宋体"/>
          <w:color w:val="auto"/>
          <w:szCs w:val="24"/>
        </w:rPr>
        <w:t>年</w:t>
      </w:r>
      <w:r>
        <w:rPr>
          <w:rFonts w:hint="eastAsia" w:ascii="Times New Roman" w:hAnsi="Times New Roman" w:eastAsia="宋体"/>
          <w:color w:val="auto"/>
          <w:szCs w:val="24"/>
          <w:lang w:val="en-US" w:eastAsia="zh-CN"/>
        </w:rPr>
        <w:t>3</w:t>
      </w:r>
      <w:r>
        <w:rPr>
          <w:rFonts w:hint="eastAsia" w:ascii="Times New Roman" w:hAnsi="Times New Roman" w:eastAsia="宋体"/>
          <w:color w:val="auto"/>
          <w:szCs w:val="24"/>
        </w:rPr>
        <w:t>月</w:t>
      </w:r>
      <w:r>
        <w:rPr>
          <w:rFonts w:hint="eastAsia" w:ascii="Times New Roman" w:hAnsi="Times New Roman" w:eastAsia="宋体"/>
          <w:szCs w:val="24"/>
        </w:rPr>
        <w:t>的债券发行统计信息，且中国债券信息网暂未公布202</w:t>
      </w:r>
      <w:r>
        <w:rPr>
          <w:rFonts w:hint="eastAsia" w:ascii="Times New Roman" w:hAnsi="Times New Roman" w:eastAsia="宋体"/>
          <w:szCs w:val="24"/>
          <w:lang w:val="en-US" w:eastAsia="zh-CN"/>
        </w:rPr>
        <w:t>6</w:t>
      </w:r>
      <w:r>
        <w:rPr>
          <w:rFonts w:hint="eastAsia" w:ascii="Times New Roman" w:hAnsi="Times New Roman" w:eastAsia="宋体"/>
          <w:szCs w:val="24"/>
        </w:rPr>
        <w:t>年</w:t>
      </w:r>
      <w:r>
        <w:rPr>
          <w:rFonts w:hint="eastAsia" w:ascii="Times New Roman" w:hAnsi="Times New Roman" w:eastAsia="宋体"/>
          <w:szCs w:val="24"/>
          <w:lang w:val="en-US" w:eastAsia="zh-CN"/>
        </w:rPr>
        <w:t>4</w:t>
      </w:r>
      <w:r>
        <w:rPr>
          <w:rFonts w:hint="eastAsia" w:ascii="Times New Roman" w:hAnsi="Times New Roman" w:eastAsia="宋体"/>
          <w:szCs w:val="24"/>
        </w:rPr>
        <w:t>月的债券发行统计信息，本期资本市场信息补充披露202</w:t>
      </w:r>
      <w:r>
        <w:rPr>
          <w:rFonts w:hint="eastAsia" w:ascii="Times New Roman" w:hAnsi="Times New Roman" w:eastAsia="宋体"/>
          <w:szCs w:val="24"/>
          <w:lang w:val="en-US" w:eastAsia="zh-CN"/>
        </w:rPr>
        <w:t>6</w:t>
      </w:r>
      <w:r>
        <w:rPr>
          <w:rFonts w:hint="eastAsia" w:ascii="Times New Roman" w:hAnsi="Times New Roman" w:eastAsia="宋体"/>
          <w:szCs w:val="24"/>
        </w:rPr>
        <w:t>年</w:t>
      </w:r>
      <w:r>
        <w:rPr>
          <w:rFonts w:hint="eastAsia" w:ascii="Times New Roman" w:hAnsi="Times New Roman" w:eastAsia="宋体"/>
          <w:szCs w:val="24"/>
          <w:lang w:val="en-US" w:eastAsia="zh-CN"/>
        </w:rPr>
        <w:t>3</w:t>
      </w:r>
      <w:r>
        <w:rPr>
          <w:rFonts w:hint="eastAsia" w:ascii="Times New Roman" w:hAnsi="Times New Roman" w:eastAsia="宋体"/>
          <w:szCs w:val="24"/>
        </w:rPr>
        <w:t>月债券发行统计数据如下</w:t>
      </w:r>
      <w:r>
        <w:rPr>
          <w:rFonts w:ascii="Times New Roman" w:hAnsi="Times New Roman" w:eastAsia="宋体"/>
          <w:szCs w:val="24"/>
        </w:rPr>
        <w:t>：</w:t>
      </w:r>
    </w:p>
    <w:p w14:paraId="62BD5292">
      <w:pPr>
        <w:tabs>
          <w:tab w:val="left" w:pos="0"/>
          <w:tab w:val="left" w:pos="840"/>
        </w:tabs>
        <w:snapToGrid w:val="0"/>
        <w:ind w:firstLine="480" w:firstLineChars="200"/>
        <w:jc w:val="right"/>
        <w:rPr>
          <w:rFonts w:ascii="Times New Roman" w:hAnsi="Times New Roman" w:eastAsia="宋体"/>
          <w:szCs w:val="24"/>
        </w:rPr>
      </w:pPr>
      <w:r>
        <w:rPr>
          <w:rFonts w:ascii="Times New Roman" w:hAnsi="Times New Roman" w:eastAsia="宋体"/>
          <w:szCs w:val="24"/>
        </w:rPr>
        <w:t>单位：亿元</w:t>
      </w:r>
    </w:p>
    <w:tbl>
      <w:tblPr>
        <w:tblStyle w:val="7"/>
        <w:tblW w:w="90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84"/>
        <w:gridCol w:w="3118"/>
        <w:gridCol w:w="3260"/>
      </w:tblGrid>
      <w:tr w14:paraId="1AC14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blHeader/>
          <w:jc w:val="center"/>
        </w:trPr>
        <w:tc>
          <w:tcPr>
            <w:tcW w:w="2684" w:type="dxa"/>
            <w:shd w:val="clear" w:color="000000" w:fill="C0C0C0"/>
            <w:noWrap/>
            <w:vAlign w:val="center"/>
          </w:tcPr>
          <w:p w14:paraId="05D19F8E">
            <w:pPr>
              <w:widowControl/>
              <w:jc w:val="left"/>
              <w:rPr>
                <w:rFonts w:ascii="Times New Roman" w:hAnsi="Times New Roman" w:eastAsia="宋体"/>
                <w:b/>
                <w:bCs/>
                <w:kern w:val="0"/>
                <w:szCs w:val="24"/>
              </w:rPr>
            </w:pPr>
          </w:p>
        </w:tc>
        <w:tc>
          <w:tcPr>
            <w:tcW w:w="3118" w:type="dxa"/>
            <w:shd w:val="clear" w:color="000000" w:fill="C0C0C0"/>
            <w:noWrap/>
            <w:vAlign w:val="center"/>
          </w:tcPr>
          <w:p w14:paraId="7CF05D58">
            <w:pPr>
              <w:widowControl/>
              <w:jc w:val="center"/>
              <w:rPr>
                <w:rFonts w:ascii="Times New Roman" w:hAnsi="Times New Roman" w:eastAsia="宋体"/>
                <w:b/>
                <w:bCs/>
                <w:kern w:val="0"/>
                <w:szCs w:val="24"/>
              </w:rPr>
            </w:pPr>
            <w:r>
              <w:rPr>
                <w:rFonts w:ascii="Times New Roman" w:hAnsi="Times New Roman" w:eastAsia="宋体"/>
                <w:b/>
                <w:bCs/>
                <w:kern w:val="0"/>
                <w:szCs w:val="24"/>
              </w:rPr>
              <w:t>本月</w:t>
            </w:r>
            <w:r>
              <w:rPr>
                <w:rFonts w:hint="eastAsia" w:ascii="Times New Roman" w:hAnsi="Times New Roman" w:eastAsia="宋体"/>
                <w:b/>
                <w:bCs/>
                <w:kern w:val="0"/>
                <w:szCs w:val="24"/>
              </w:rPr>
              <w:t>（202</w:t>
            </w:r>
            <w:r>
              <w:rPr>
                <w:rFonts w:hint="eastAsia" w:ascii="Times New Roman" w:hAnsi="Times New Roman" w:eastAsia="宋体"/>
                <w:b/>
                <w:bCs/>
                <w:kern w:val="0"/>
                <w:szCs w:val="24"/>
                <w:lang w:val="en-US" w:eastAsia="zh-CN"/>
              </w:rPr>
              <w:t>6</w:t>
            </w:r>
            <w:r>
              <w:rPr>
                <w:rFonts w:hint="eastAsia" w:ascii="Times New Roman" w:hAnsi="Times New Roman" w:eastAsia="宋体"/>
                <w:b/>
                <w:bCs/>
                <w:kern w:val="0"/>
                <w:szCs w:val="24"/>
              </w:rPr>
              <w:t>年</w:t>
            </w:r>
            <w:r>
              <w:rPr>
                <w:rFonts w:hint="eastAsia" w:ascii="Times New Roman" w:hAnsi="Times New Roman" w:eastAsia="宋体"/>
                <w:b/>
                <w:bCs/>
                <w:kern w:val="0"/>
                <w:szCs w:val="24"/>
                <w:lang w:val="en-US" w:eastAsia="zh-CN"/>
              </w:rPr>
              <w:t>3</w:t>
            </w:r>
            <w:r>
              <w:rPr>
                <w:rFonts w:hint="eastAsia" w:ascii="Times New Roman" w:hAnsi="Times New Roman" w:eastAsia="宋体"/>
                <w:b/>
                <w:bCs/>
                <w:kern w:val="0"/>
                <w:szCs w:val="24"/>
              </w:rPr>
              <w:t>月）</w:t>
            </w:r>
          </w:p>
        </w:tc>
        <w:tc>
          <w:tcPr>
            <w:tcW w:w="3260" w:type="dxa"/>
            <w:shd w:val="clear" w:color="000000" w:fill="C0C0C0"/>
            <w:noWrap/>
            <w:vAlign w:val="center"/>
          </w:tcPr>
          <w:p w14:paraId="390408ED">
            <w:pPr>
              <w:widowControl/>
              <w:jc w:val="center"/>
              <w:rPr>
                <w:rFonts w:ascii="Times New Roman" w:hAnsi="Times New Roman" w:eastAsia="宋体"/>
                <w:b/>
                <w:bCs/>
                <w:kern w:val="0"/>
                <w:szCs w:val="24"/>
              </w:rPr>
            </w:pPr>
            <w:r>
              <w:rPr>
                <w:rFonts w:hint="eastAsia" w:ascii="Times New Roman" w:hAnsi="Times New Roman" w:eastAsia="宋体"/>
                <w:b/>
                <w:bCs/>
                <w:kern w:val="0"/>
                <w:szCs w:val="24"/>
                <w:lang w:val="en-US" w:eastAsia="zh-CN"/>
              </w:rPr>
              <w:t>本年</w:t>
            </w:r>
            <w:r>
              <w:rPr>
                <w:rFonts w:ascii="Times New Roman" w:hAnsi="Times New Roman" w:eastAsia="宋体"/>
                <w:b/>
                <w:bCs/>
                <w:kern w:val="0"/>
                <w:szCs w:val="24"/>
              </w:rPr>
              <w:t>累计</w:t>
            </w:r>
          </w:p>
        </w:tc>
      </w:tr>
      <w:tr w14:paraId="3B0BD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2684" w:type="dxa"/>
            <w:shd w:val="clear" w:color="000000" w:fill="C0C0C0"/>
            <w:noWrap/>
            <w:vAlign w:val="center"/>
          </w:tcPr>
          <w:p w14:paraId="509DACD0">
            <w:pPr>
              <w:widowControl/>
              <w:jc w:val="left"/>
              <w:rPr>
                <w:rFonts w:ascii="Times New Roman" w:hAnsi="Times New Roman" w:eastAsia="宋体"/>
                <w:b/>
                <w:bCs/>
                <w:kern w:val="0"/>
                <w:szCs w:val="24"/>
              </w:rPr>
            </w:pPr>
            <w:r>
              <w:rPr>
                <w:rFonts w:ascii="Times New Roman" w:hAnsi="Times New Roman" w:eastAsia="宋体"/>
                <w:b/>
                <w:bCs/>
                <w:kern w:val="0"/>
                <w:szCs w:val="24"/>
              </w:rPr>
              <w:t>国债</w:t>
            </w:r>
          </w:p>
        </w:tc>
        <w:tc>
          <w:tcPr>
            <w:tcW w:w="3118" w:type="dxa"/>
            <w:noWrap/>
            <w:vAlign w:val="center"/>
          </w:tcPr>
          <w:p w14:paraId="41FD3DB3">
            <w:pPr>
              <w:shd w:val="solid" w:color="FFFFFF" w:fill="auto"/>
              <w:autoSpaceDN w:val="0"/>
              <w:jc w:val="right"/>
              <w:textAlignment w:val="center"/>
              <w:rPr>
                <w:rFonts w:hint="eastAsia" w:ascii="Times New Roman" w:hAnsi="Times New Roman" w:eastAsia="宋体" w:cs="Times New Roman"/>
                <w:b w:val="0"/>
                <w:bCs w:val="0"/>
                <w:color w:val="auto"/>
                <w:szCs w:val="24"/>
                <w:lang w:val="en-US" w:eastAsia="zh-CN"/>
              </w:rPr>
            </w:pPr>
            <w:r>
              <w:rPr>
                <w:rFonts w:hint="default" w:ascii="Times New Roman" w:hAnsi="Times New Roman" w:eastAsia="宋体" w:cs="Times New Roman"/>
                <w:b w:val="0"/>
                <w:bCs w:val="0"/>
                <w:color w:val="auto"/>
                <w:szCs w:val="24"/>
                <w:lang w:val="en-US" w:eastAsia="zh-CN"/>
              </w:rPr>
              <w:t>13,510.00</w:t>
            </w:r>
          </w:p>
        </w:tc>
        <w:tc>
          <w:tcPr>
            <w:tcW w:w="3260" w:type="dxa"/>
            <w:noWrap/>
            <w:vAlign w:val="center"/>
          </w:tcPr>
          <w:p w14:paraId="64DED989">
            <w:pPr>
              <w:shd w:val="solid" w:color="FFFFFF" w:fill="auto"/>
              <w:autoSpaceDN w:val="0"/>
              <w:jc w:val="right"/>
              <w:textAlignment w:val="center"/>
              <w:rPr>
                <w:rFonts w:hint="eastAsia" w:ascii="Times New Roman" w:hAnsi="Times New Roman" w:eastAsia="宋体" w:cs="Times New Roman"/>
                <w:b w:val="0"/>
                <w:bCs w:val="0"/>
                <w:color w:val="auto"/>
                <w:szCs w:val="24"/>
                <w:lang w:val="en-US" w:eastAsia="zh-CN"/>
              </w:rPr>
            </w:pPr>
            <w:r>
              <w:rPr>
                <w:rFonts w:hint="default" w:ascii="Times New Roman" w:hAnsi="Times New Roman" w:eastAsia="宋体" w:cs="Times New Roman"/>
                <w:b w:val="0"/>
                <w:bCs w:val="0"/>
                <w:color w:val="auto"/>
                <w:szCs w:val="24"/>
                <w:lang w:val="en-US" w:eastAsia="zh-CN"/>
              </w:rPr>
              <w:t>35,900.00</w:t>
            </w:r>
          </w:p>
        </w:tc>
      </w:tr>
      <w:tr w14:paraId="61DF3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jc w:val="center"/>
        </w:trPr>
        <w:tc>
          <w:tcPr>
            <w:tcW w:w="2684" w:type="dxa"/>
            <w:shd w:val="clear" w:color="000000" w:fill="C0C0C0"/>
            <w:noWrap/>
            <w:vAlign w:val="center"/>
          </w:tcPr>
          <w:p w14:paraId="62BA27AF">
            <w:pPr>
              <w:widowControl/>
              <w:jc w:val="left"/>
              <w:rPr>
                <w:rFonts w:ascii="Times New Roman" w:hAnsi="Times New Roman" w:eastAsia="宋体"/>
                <w:b/>
                <w:bCs/>
                <w:kern w:val="0"/>
                <w:szCs w:val="24"/>
              </w:rPr>
            </w:pPr>
            <w:r>
              <w:rPr>
                <w:rFonts w:ascii="Times New Roman" w:hAnsi="Times New Roman" w:eastAsia="宋体"/>
                <w:b/>
                <w:bCs/>
                <w:kern w:val="0"/>
                <w:szCs w:val="24"/>
              </w:rPr>
              <w:t>地方政府债</w:t>
            </w:r>
          </w:p>
        </w:tc>
        <w:tc>
          <w:tcPr>
            <w:tcW w:w="3118" w:type="dxa"/>
            <w:noWrap/>
            <w:vAlign w:val="center"/>
          </w:tcPr>
          <w:p w14:paraId="56C19F74">
            <w:pPr>
              <w:shd w:val="solid" w:color="FFFFFF" w:fill="auto"/>
              <w:autoSpaceDN w:val="0"/>
              <w:jc w:val="right"/>
              <w:textAlignment w:val="center"/>
              <w:rPr>
                <w:rFonts w:hint="eastAsia" w:ascii="Times New Roman" w:hAnsi="Times New Roman" w:eastAsia="宋体" w:cs="Times New Roman"/>
                <w:b w:val="0"/>
                <w:bCs w:val="0"/>
                <w:color w:val="auto"/>
                <w:szCs w:val="24"/>
                <w:lang w:val="en-US" w:eastAsia="zh-CN"/>
              </w:rPr>
            </w:pPr>
            <w:r>
              <w:rPr>
                <w:rFonts w:hint="default" w:ascii="Times New Roman" w:hAnsi="Times New Roman" w:eastAsia="宋体" w:cs="Times New Roman"/>
                <w:b w:val="0"/>
                <w:bCs w:val="0"/>
                <w:color w:val="auto"/>
                <w:szCs w:val="24"/>
                <w:lang w:val="en-US" w:eastAsia="zh-CN"/>
              </w:rPr>
              <w:t>10,842.82</w:t>
            </w:r>
          </w:p>
        </w:tc>
        <w:tc>
          <w:tcPr>
            <w:tcW w:w="3260" w:type="dxa"/>
            <w:noWrap/>
            <w:vAlign w:val="center"/>
          </w:tcPr>
          <w:p w14:paraId="6FEA9604">
            <w:pPr>
              <w:shd w:val="solid" w:color="FFFFFF" w:fill="auto"/>
              <w:autoSpaceDN w:val="0"/>
              <w:jc w:val="right"/>
              <w:textAlignment w:val="center"/>
              <w:rPr>
                <w:rFonts w:hint="eastAsia" w:ascii="Times New Roman" w:hAnsi="Times New Roman" w:eastAsia="宋体" w:cs="Times New Roman"/>
                <w:b w:val="0"/>
                <w:bCs w:val="0"/>
                <w:color w:val="auto"/>
                <w:szCs w:val="24"/>
                <w:lang w:val="en-US" w:eastAsia="zh-CN"/>
              </w:rPr>
            </w:pPr>
            <w:r>
              <w:rPr>
                <w:rFonts w:hint="default" w:ascii="Times New Roman" w:hAnsi="Times New Roman" w:eastAsia="宋体" w:cs="Times New Roman"/>
                <w:b w:val="0"/>
                <w:bCs w:val="0"/>
                <w:color w:val="auto"/>
                <w:szCs w:val="24"/>
                <w:lang w:val="en-US" w:eastAsia="zh-CN"/>
              </w:rPr>
              <w:t>31,058.61</w:t>
            </w:r>
          </w:p>
        </w:tc>
      </w:tr>
      <w:tr w14:paraId="086BB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2684" w:type="dxa"/>
            <w:shd w:val="clear" w:color="000000" w:fill="C0C0C0"/>
            <w:noWrap/>
            <w:vAlign w:val="center"/>
          </w:tcPr>
          <w:p w14:paraId="2CBD5BF6">
            <w:pPr>
              <w:widowControl/>
              <w:jc w:val="left"/>
              <w:rPr>
                <w:rFonts w:ascii="Times New Roman" w:hAnsi="Times New Roman" w:eastAsia="宋体"/>
                <w:b/>
                <w:bCs/>
                <w:kern w:val="0"/>
                <w:szCs w:val="24"/>
              </w:rPr>
            </w:pPr>
            <w:r>
              <w:rPr>
                <w:rFonts w:ascii="Times New Roman" w:hAnsi="Times New Roman" w:eastAsia="宋体"/>
                <w:b/>
                <w:bCs/>
                <w:kern w:val="0"/>
                <w:szCs w:val="24"/>
              </w:rPr>
              <w:t>央行票据</w:t>
            </w:r>
          </w:p>
        </w:tc>
        <w:tc>
          <w:tcPr>
            <w:tcW w:w="3118" w:type="dxa"/>
            <w:noWrap/>
            <w:vAlign w:val="center"/>
          </w:tcPr>
          <w:p w14:paraId="72A16540">
            <w:pPr>
              <w:shd w:val="solid" w:color="FFFFFF" w:fill="auto"/>
              <w:autoSpaceDN w:val="0"/>
              <w:jc w:val="right"/>
              <w:textAlignment w:val="center"/>
              <w:rPr>
                <w:rFonts w:hint="eastAsia" w:ascii="Times New Roman" w:hAnsi="Times New Roman" w:eastAsia="宋体" w:cs="Times New Roman"/>
                <w:b w:val="0"/>
                <w:bCs w:val="0"/>
                <w:color w:val="auto"/>
                <w:szCs w:val="24"/>
                <w:lang w:val="en-US" w:eastAsia="zh-CN"/>
              </w:rPr>
            </w:pPr>
            <w:r>
              <w:rPr>
                <w:rFonts w:hint="default" w:ascii="Times New Roman" w:hAnsi="Times New Roman" w:eastAsia="宋体" w:cs="Times New Roman"/>
                <w:b w:val="0"/>
                <w:bCs w:val="0"/>
                <w:color w:val="auto"/>
                <w:szCs w:val="24"/>
                <w:lang w:val="en-US" w:eastAsia="zh-CN"/>
              </w:rPr>
              <w:t>0.00</w:t>
            </w:r>
          </w:p>
        </w:tc>
        <w:tc>
          <w:tcPr>
            <w:tcW w:w="3260" w:type="dxa"/>
            <w:noWrap/>
            <w:vAlign w:val="center"/>
          </w:tcPr>
          <w:p w14:paraId="3E5A30FA">
            <w:pPr>
              <w:shd w:val="solid" w:color="FFFFFF" w:fill="auto"/>
              <w:autoSpaceDN w:val="0"/>
              <w:jc w:val="right"/>
              <w:textAlignment w:val="center"/>
              <w:rPr>
                <w:rFonts w:hint="eastAsia" w:ascii="Times New Roman" w:hAnsi="Times New Roman" w:eastAsia="宋体" w:cs="Times New Roman"/>
                <w:b w:val="0"/>
                <w:bCs w:val="0"/>
                <w:color w:val="auto"/>
                <w:szCs w:val="24"/>
                <w:lang w:val="en-US" w:eastAsia="zh-CN"/>
              </w:rPr>
            </w:pPr>
            <w:r>
              <w:rPr>
                <w:rFonts w:hint="default" w:ascii="Times New Roman" w:hAnsi="Times New Roman" w:eastAsia="宋体" w:cs="Times New Roman"/>
                <w:b w:val="0"/>
                <w:bCs w:val="0"/>
                <w:color w:val="auto"/>
                <w:szCs w:val="24"/>
                <w:lang w:val="en-US" w:eastAsia="zh-CN"/>
              </w:rPr>
              <w:t>0.00</w:t>
            </w:r>
          </w:p>
        </w:tc>
      </w:tr>
      <w:tr w14:paraId="6DE0A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2684" w:type="dxa"/>
            <w:shd w:val="clear" w:color="000000" w:fill="C0C0C0"/>
            <w:noWrap/>
            <w:vAlign w:val="center"/>
          </w:tcPr>
          <w:p w14:paraId="77F4AC7D">
            <w:pPr>
              <w:widowControl/>
              <w:jc w:val="left"/>
              <w:rPr>
                <w:rFonts w:ascii="Times New Roman" w:hAnsi="Times New Roman" w:eastAsia="宋体"/>
                <w:b/>
                <w:bCs/>
                <w:kern w:val="0"/>
                <w:szCs w:val="24"/>
              </w:rPr>
            </w:pPr>
            <w:r>
              <w:rPr>
                <w:rFonts w:ascii="Times New Roman" w:hAnsi="Times New Roman" w:eastAsia="宋体"/>
                <w:b/>
                <w:bCs/>
                <w:kern w:val="0"/>
                <w:szCs w:val="24"/>
              </w:rPr>
              <w:t>政策性银行债</w:t>
            </w:r>
          </w:p>
        </w:tc>
        <w:tc>
          <w:tcPr>
            <w:tcW w:w="3118" w:type="dxa"/>
            <w:noWrap/>
            <w:vAlign w:val="center"/>
          </w:tcPr>
          <w:p w14:paraId="40C6F080">
            <w:pPr>
              <w:shd w:val="solid" w:color="FFFFFF" w:fill="auto"/>
              <w:autoSpaceDN w:val="0"/>
              <w:jc w:val="right"/>
              <w:textAlignment w:val="center"/>
              <w:rPr>
                <w:rFonts w:hint="eastAsia" w:ascii="Times New Roman" w:hAnsi="Times New Roman" w:eastAsia="宋体" w:cs="Times New Roman"/>
                <w:b w:val="0"/>
                <w:bCs w:val="0"/>
                <w:color w:val="auto"/>
                <w:szCs w:val="24"/>
                <w:lang w:val="en-US" w:eastAsia="zh-CN"/>
              </w:rPr>
            </w:pPr>
            <w:r>
              <w:rPr>
                <w:rFonts w:hint="default" w:ascii="Times New Roman" w:hAnsi="Times New Roman" w:eastAsia="宋体" w:cs="Times New Roman"/>
                <w:b w:val="0"/>
                <w:bCs w:val="0"/>
                <w:color w:val="auto"/>
                <w:szCs w:val="24"/>
                <w:lang w:val="en-US" w:eastAsia="zh-CN"/>
              </w:rPr>
              <w:t>5,860.00</w:t>
            </w:r>
          </w:p>
        </w:tc>
        <w:tc>
          <w:tcPr>
            <w:tcW w:w="3260" w:type="dxa"/>
            <w:noWrap/>
            <w:vAlign w:val="center"/>
          </w:tcPr>
          <w:p w14:paraId="3339A14F">
            <w:pPr>
              <w:shd w:val="solid" w:color="FFFFFF" w:fill="auto"/>
              <w:autoSpaceDN w:val="0"/>
              <w:jc w:val="right"/>
              <w:textAlignment w:val="center"/>
              <w:rPr>
                <w:rFonts w:hint="eastAsia" w:ascii="Times New Roman" w:hAnsi="Times New Roman" w:eastAsia="宋体" w:cs="Times New Roman"/>
                <w:b w:val="0"/>
                <w:bCs w:val="0"/>
                <w:color w:val="auto"/>
                <w:szCs w:val="24"/>
                <w:lang w:val="en-US" w:eastAsia="zh-CN"/>
              </w:rPr>
            </w:pPr>
            <w:r>
              <w:rPr>
                <w:rFonts w:hint="default" w:ascii="Times New Roman" w:hAnsi="Times New Roman" w:eastAsia="宋体" w:cs="Times New Roman"/>
                <w:b w:val="0"/>
                <w:bCs w:val="0"/>
                <w:color w:val="auto"/>
                <w:szCs w:val="24"/>
                <w:lang w:val="en-US" w:eastAsia="zh-CN"/>
              </w:rPr>
              <w:t>15,478.20</w:t>
            </w:r>
          </w:p>
        </w:tc>
      </w:tr>
      <w:tr w14:paraId="384F1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2684" w:type="dxa"/>
            <w:shd w:val="clear" w:color="000000" w:fill="C0C0C0"/>
            <w:noWrap/>
            <w:vAlign w:val="center"/>
          </w:tcPr>
          <w:p w14:paraId="1D7BEA27">
            <w:pPr>
              <w:widowControl/>
              <w:jc w:val="left"/>
              <w:rPr>
                <w:rFonts w:ascii="Times New Roman" w:hAnsi="Times New Roman" w:eastAsia="宋体"/>
                <w:b/>
                <w:bCs/>
                <w:kern w:val="0"/>
                <w:szCs w:val="24"/>
              </w:rPr>
            </w:pPr>
            <w:r>
              <w:rPr>
                <w:rFonts w:ascii="Times New Roman" w:hAnsi="Times New Roman" w:eastAsia="宋体"/>
                <w:b/>
                <w:bCs/>
                <w:kern w:val="0"/>
                <w:szCs w:val="24"/>
              </w:rPr>
              <w:t>政府支持机构债</w:t>
            </w:r>
          </w:p>
        </w:tc>
        <w:tc>
          <w:tcPr>
            <w:tcW w:w="3118" w:type="dxa"/>
            <w:noWrap/>
            <w:vAlign w:val="center"/>
          </w:tcPr>
          <w:p w14:paraId="6EE3E340">
            <w:pPr>
              <w:shd w:val="solid" w:color="FFFFFF" w:fill="auto"/>
              <w:autoSpaceDN w:val="0"/>
              <w:jc w:val="right"/>
              <w:textAlignment w:val="center"/>
              <w:rPr>
                <w:rFonts w:hint="eastAsia" w:ascii="Times New Roman" w:hAnsi="Times New Roman" w:eastAsia="宋体" w:cs="Times New Roman"/>
                <w:b w:val="0"/>
                <w:bCs w:val="0"/>
                <w:color w:val="auto"/>
                <w:szCs w:val="24"/>
                <w:lang w:val="en-US" w:eastAsia="zh-CN"/>
              </w:rPr>
            </w:pPr>
            <w:r>
              <w:rPr>
                <w:rFonts w:hint="default" w:ascii="Times New Roman" w:hAnsi="Times New Roman" w:eastAsia="宋体" w:cs="Times New Roman"/>
                <w:b w:val="0"/>
                <w:bCs w:val="0"/>
                <w:color w:val="auto"/>
                <w:szCs w:val="24"/>
                <w:lang w:val="en-US" w:eastAsia="zh-CN"/>
              </w:rPr>
              <w:t>100.00</w:t>
            </w:r>
          </w:p>
        </w:tc>
        <w:tc>
          <w:tcPr>
            <w:tcW w:w="3260" w:type="dxa"/>
            <w:noWrap/>
            <w:vAlign w:val="center"/>
          </w:tcPr>
          <w:p w14:paraId="1123292E">
            <w:pPr>
              <w:shd w:val="solid" w:color="FFFFFF" w:fill="auto"/>
              <w:autoSpaceDN w:val="0"/>
              <w:jc w:val="right"/>
              <w:textAlignment w:val="center"/>
              <w:rPr>
                <w:rFonts w:hint="eastAsia" w:ascii="Times New Roman" w:hAnsi="Times New Roman" w:eastAsia="宋体" w:cs="Times New Roman"/>
                <w:b w:val="0"/>
                <w:bCs w:val="0"/>
                <w:color w:val="auto"/>
                <w:szCs w:val="24"/>
                <w:lang w:val="en-US" w:eastAsia="zh-CN"/>
              </w:rPr>
            </w:pPr>
            <w:r>
              <w:rPr>
                <w:rFonts w:hint="default" w:ascii="Times New Roman" w:hAnsi="Times New Roman" w:eastAsia="宋体" w:cs="Times New Roman"/>
                <w:b w:val="0"/>
                <w:bCs w:val="0"/>
                <w:color w:val="auto"/>
                <w:szCs w:val="24"/>
                <w:lang w:val="en-US" w:eastAsia="zh-CN"/>
              </w:rPr>
              <w:t>400.00</w:t>
            </w:r>
          </w:p>
        </w:tc>
      </w:tr>
      <w:tr w14:paraId="1279F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2684" w:type="dxa"/>
            <w:shd w:val="clear" w:color="000000" w:fill="C0C0C0"/>
            <w:noWrap/>
            <w:vAlign w:val="center"/>
          </w:tcPr>
          <w:p w14:paraId="758C160C">
            <w:pPr>
              <w:widowControl/>
              <w:jc w:val="left"/>
              <w:rPr>
                <w:rFonts w:ascii="Times New Roman" w:hAnsi="Times New Roman" w:eastAsia="宋体"/>
                <w:b/>
                <w:bCs/>
                <w:kern w:val="0"/>
                <w:szCs w:val="24"/>
              </w:rPr>
            </w:pPr>
            <w:r>
              <w:rPr>
                <w:rFonts w:ascii="Times New Roman" w:hAnsi="Times New Roman" w:eastAsia="宋体"/>
                <w:b/>
                <w:bCs/>
                <w:kern w:val="0"/>
                <w:szCs w:val="24"/>
              </w:rPr>
              <w:t>商业银行债券</w:t>
            </w:r>
          </w:p>
        </w:tc>
        <w:tc>
          <w:tcPr>
            <w:tcW w:w="3118" w:type="dxa"/>
            <w:noWrap/>
            <w:vAlign w:val="center"/>
          </w:tcPr>
          <w:p w14:paraId="4E648521">
            <w:pPr>
              <w:shd w:val="solid" w:color="FFFFFF" w:fill="auto"/>
              <w:autoSpaceDN w:val="0"/>
              <w:jc w:val="right"/>
              <w:textAlignment w:val="center"/>
              <w:rPr>
                <w:rFonts w:hint="eastAsia" w:ascii="Times New Roman" w:hAnsi="Times New Roman" w:eastAsia="宋体" w:cs="Times New Roman"/>
                <w:b w:val="0"/>
                <w:bCs w:val="0"/>
                <w:color w:val="auto"/>
                <w:szCs w:val="24"/>
                <w:lang w:val="en-US" w:eastAsia="zh-CN"/>
              </w:rPr>
            </w:pPr>
            <w:r>
              <w:rPr>
                <w:rFonts w:hint="default" w:ascii="Times New Roman" w:hAnsi="Times New Roman" w:eastAsia="宋体" w:cs="Times New Roman"/>
                <w:b w:val="0"/>
                <w:bCs w:val="0"/>
                <w:color w:val="auto"/>
                <w:szCs w:val="24"/>
                <w:lang w:val="en-US" w:eastAsia="zh-CN"/>
              </w:rPr>
              <w:t>0.00</w:t>
            </w:r>
          </w:p>
        </w:tc>
        <w:tc>
          <w:tcPr>
            <w:tcW w:w="3260" w:type="dxa"/>
            <w:noWrap/>
            <w:vAlign w:val="center"/>
          </w:tcPr>
          <w:p w14:paraId="69B1051F">
            <w:pPr>
              <w:shd w:val="solid" w:color="FFFFFF" w:fill="auto"/>
              <w:autoSpaceDN w:val="0"/>
              <w:jc w:val="right"/>
              <w:textAlignment w:val="center"/>
              <w:rPr>
                <w:rFonts w:hint="eastAsia" w:ascii="Times New Roman" w:hAnsi="Times New Roman" w:eastAsia="宋体" w:cs="Times New Roman"/>
                <w:b w:val="0"/>
                <w:bCs w:val="0"/>
                <w:color w:val="auto"/>
                <w:szCs w:val="24"/>
                <w:lang w:val="en-US" w:eastAsia="zh-CN"/>
              </w:rPr>
            </w:pPr>
            <w:r>
              <w:rPr>
                <w:rFonts w:hint="default" w:ascii="Times New Roman" w:hAnsi="Times New Roman" w:eastAsia="宋体" w:cs="Times New Roman"/>
                <w:b w:val="0"/>
                <w:bCs w:val="0"/>
                <w:color w:val="auto"/>
                <w:szCs w:val="24"/>
                <w:lang w:val="en-US" w:eastAsia="zh-CN"/>
              </w:rPr>
              <w:t>0.00</w:t>
            </w:r>
          </w:p>
        </w:tc>
      </w:tr>
      <w:tr w14:paraId="49ABF0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2684" w:type="dxa"/>
            <w:shd w:val="clear" w:color="000000" w:fill="C0C0C0"/>
            <w:noWrap/>
            <w:vAlign w:val="center"/>
          </w:tcPr>
          <w:p w14:paraId="33C1037B">
            <w:pPr>
              <w:widowControl/>
              <w:jc w:val="left"/>
              <w:rPr>
                <w:rFonts w:ascii="Times New Roman" w:hAnsi="Times New Roman" w:eastAsia="宋体"/>
                <w:b/>
                <w:bCs/>
                <w:kern w:val="0"/>
                <w:szCs w:val="24"/>
              </w:rPr>
            </w:pPr>
            <w:r>
              <w:rPr>
                <w:rFonts w:ascii="Times New Roman" w:hAnsi="Times New Roman" w:eastAsia="宋体"/>
                <w:b/>
                <w:bCs/>
                <w:kern w:val="0"/>
                <w:szCs w:val="24"/>
              </w:rPr>
              <w:t>非银行金融机构债券</w:t>
            </w:r>
          </w:p>
        </w:tc>
        <w:tc>
          <w:tcPr>
            <w:tcW w:w="3118" w:type="dxa"/>
            <w:noWrap/>
            <w:vAlign w:val="center"/>
          </w:tcPr>
          <w:p w14:paraId="40BDE23A">
            <w:pPr>
              <w:shd w:val="solid" w:color="FFFFFF" w:fill="auto"/>
              <w:autoSpaceDN w:val="0"/>
              <w:jc w:val="right"/>
              <w:textAlignment w:val="center"/>
              <w:rPr>
                <w:rFonts w:hint="eastAsia" w:ascii="Times New Roman" w:hAnsi="Times New Roman" w:eastAsia="宋体" w:cs="Times New Roman"/>
                <w:b w:val="0"/>
                <w:bCs w:val="0"/>
                <w:color w:val="auto"/>
                <w:szCs w:val="24"/>
                <w:lang w:val="en-US" w:eastAsia="zh-CN"/>
              </w:rPr>
            </w:pPr>
            <w:r>
              <w:rPr>
                <w:rFonts w:hint="default" w:ascii="Times New Roman" w:hAnsi="Times New Roman" w:eastAsia="宋体" w:cs="Times New Roman"/>
                <w:b w:val="0"/>
                <w:bCs w:val="0"/>
                <w:color w:val="auto"/>
                <w:szCs w:val="24"/>
                <w:lang w:val="en-US" w:eastAsia="zh-CN"/>
              </w:rPr>
              <w:t>60.00</w:t>
            </w:r>
          </w:p>
        </w:tc>
        <w:tc>
          <w:tcPr>
            <w:tcW w:w="3260" w:type="dxa"/>
            <w:noWrap/>
            <w:vAlign w:val="center"/>
          </w:tcPr>
          <w:p w14:paraId="0AC76E04">
            <w:pPr>
              <w:shd w:val="solid" w:color="FFFFFF" w:fill="auto"/>
              <w:autoSpaceDN w:val="0"/>
              <w:jc w:val="right"/>
              <w:textAlignment w:val="center"/>
              <w:rPr>
                <w:rFonts w:hint="eastAsia" w:ascii="Times New Roman" w:hAnsi="Times New Roman" w:eastAsia="宋体" w:cs="Times New Roman"/>
                <w:b w:val="0"/>
                <w:bCs w:val="0"/>
                <w:color w:val="auto"/>
                <w:szCs w:val="24"/>
                <w:lang w:val="en-US" w:eastAsia="zh-CN"/>
              </w:rPr>
            </w:pPr>
            <w:r>
              <w:rPr>
                <w:rFonts w:hint="default" w:ascii="Times New Roman" w:hAnsi="Times New Roman" w:eastAsia="宋体" w:cs="Times New Roman"/>
                <w:b w:val="0"/>
                <w:bCs w:val="0"/>
                <w:color w:val="auto"/>
                <w:szCs w:val="24"/>
                <w:lang w:val="en-US" w:eastAsia="zh-CN"/>
              </w:rPr>
              <w:t>85.00</w:t>
            </w:r>
          </w:p>
        </w:tc>
      </w:tr>
      <w:tr w14:paraId="0243D7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2684" w:type="dxa"/>
            <w:shd w:val="clear" w:color="000000" w:fill="C0C0C0"/>
            <w:noWrap/>
            <w:vAlign w:val="center"/>
          </w:tcPr>
          <w:p w14:paraId="7DD9AB35">
            <w:pPr>
              <w:widowControl/>
              <w:jc w:val="left"/>
              <w:rPr>
                <w:rFonts w:ascii="Times New Roman" w:hAnsi="Times New Roman" w:eastAsia="宋体"/>
                <w:b/>
                <w:bCs/>
                <w:kern w:val="0"/>
                <w:szCs w:val="24"/>
              </w:rPr>
            </w:pPr>
            <w:r>
              <w:rPr>
                <w:rFonts w:ascii="Times New Roman" w:hAnsi="Times New Roman" w:eastAsia="宋体"/>
                <w:b/>
                <w:bCs/>
                <w:kern w:val="0"/>
                <w:szCs w:val="24"/>
              </w:rPr>
              <w:t>企业债券</w:t>
            </w:r>
          </w:p>
        </w:tc>
        <w:tc>
          <w:tcPr>
            <w:tcW w:w="3118" w:type="dxa"/>
            <w:noWrap/>
            <w:vAlign w:val="center"/>
          </w:tcPr>
          <w:p w14:paraId="3017EB28">
            <w:pPr>
              <w:shd w:val="solid" w:color="FFFFFF" w:fill="auto"/>
              <w:autoSpaceDN w:val="0"/>
              <w:jc w:val="right"/>
              <w:textAlignment w:val="center"/>
              <w:rPr>
                <w:rFonts w:hint="eastAsia" w:ascii="Times New Roman" w:hAnsi="Times New Roman" w:eastAsia="宋体" w:cs="Times New Roman"/>
                <w:b w:val="0"/>
                <w:bCs w:val="0"/>
                <w:color w:val="auto"/>
                <w:szCs w:val="24"/>
                <w:lang w:val="en-US" w:eastAsia="zh-CN"/>
              </w:rPr>
            </w:pPr>
            <w:r>
              <w:rPr>
                <w:rFonts w:hint="default" w:ascii="Times New Roman" w:hAnsi="Times New Roman" w:eastAsia="宋体" w:cs="Times New Roman"/>
                <w:b w:val="0"/>
                <w:bCs w:val="0"/>
                <w:color w:val="auto"/>
                <w:szCs w:val="24"/>
                <w:lang w:val="en-US" w:eastAsia="zh-CN"/>
              </w:rPr>
              <w:t>0.00</w:t>
            </w:r>
          </w:p>
        </w:tc>
        <w:tc>
          <w:tcPr>
            <w:tcW w:w="3260" w:type="dxa"/>
            <w:noWrap/>
            <w:vAlign w:val="center"/>
          </w:tcPr>
          <w:p w14:paraId="724786D6">
            <w:pPr>
              <w:shd w:val="solid" w:color="FFFFFF" w:fill="auto"/>
              <w:autoSpaceDN w:val="0"/>
              <w:jc w:val="right"/>
              <w:textAlignment w:val="center"/>
              <w:rPr>
                <w:rFonts w:hint="eastAsia" w:ascii="Times New Roman" w:hAnsi="Times New Roman" w:eastAsia="宋体" w:cs="Times New Roman"/>
                <w:b w:val="0"/>
                <w:bCs w:val="0"/>
                <w:color w:val="auto"/>
                <w:szCs w:val="24"/>
                <w:lang w:val="en-US" w:eastAsia="zh-CN"/>
              </w:rPr>
            </w:pPr>
            <w:r>
              <w:rPr>
                <w:rFonts w:hint="default" w:ascii="Times New Roman" w:hAnsi="Times New Roman" w:eastAsia="宋体" w:cs="Times New Roman"/>
                <w:b w:val="0"/>
                <w:bCs w:val="0"/>
                <w:color w:val="auto"/>
                <w:szCs w:val="24"/>
                <w:lang w:val="en-US" w:eastAsia="zh-CN"/>
              </w:rPr>
              <w:t>20.00</w:t>
            </w:r>
          </w:p>
        </w:tc>
      </w:tr>
      <w:tr w14:paraId="2C9A3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 w:hRule="atLeast"/>
          <w:jc w:val="center"/>
        </w:trPr>
        <w:tc>
          <w:tcPr>
            <w:tcW w:w="2684" w:type="dxa"/>
            <w:shd w:val="clear" w:color="000000" w:fill="C0C0C0"/>
            <w:noWrap/>
            <w:vAlign w:val="center"/>
          </w:tcPr>
          <w:p w14:paraId="4E8819F9">
            <w:pPr>
              <w:widowControl/>
              <w:jc w:val="left"/>
              <w:rPr>
                <w:rFonts w:ascii="Times New Roman" w:hAnsi="Times New Roman" w:eastAsia="宋体"/>
                <w:b/>
                <w:bCs/>
                <w:kern w:val="0"/>
                <w:szCs w:val="24"/>
              </w:rPr>
            </w:pPr>
            <w:r>
              <w:rPr>
                <w:rFonts w:ascii="Times New Roman" w:hAnsi="Times New Roman" w:eastAsia="宋体"/>
                <w:b/>
                <w:bCs/>
                <w:kern w:val="0"/>
                <w:szCs w:val="24"/>
              </w:rPr>
              <w:t>信贷资产支持证券</w:t>
            </w:r>
          </w:p>
        </w:tc>
        <w:tc>
          <w:tcPr>
            <w:tcW w:w="3118" w:type="dxa"/>
            <w:noWrap/>
            <w:vAlign w:val="center"/>
          </w:tcPr>
          <w:p w14:paraId="2DA0D7D6">
            <w:pPr>
              <w:shd w:val="solid" w:color="FFFFFF" w:fill="auto"/>
              <w:autoSpaceDN w:val="0"/>
              <w:jc w:val="right"/>
              <w:textAlignment w:val="center"/>
              <w:rPr>
                <w:rFonts w:hint="eastAsia" w:ascii="Times New Roman" w:hAnsi="Times New Roman" w:eastAsia="宋体" w:cs="Times New Roman"/>
                <w:b w:val="0"/>
                <w:bCs w:val="0"/>
                <w:color w:val="auto"/>
                <w:szCs w:val="24"/>
                <w:lang w:val="en-US" w:eastAsia="zh-CN"/>
              </w:rPr>
            </w:pPr>
            <w:r>
              <w:rPr>
                <w:rFonts w:hint="default" w:ascii="Times New Roman" w:hAnsi="Times New Roman" w:eastAsia="宋体" w:cs="Times New Roman"/>
                <w:b w:val="0"/>
                <w:bCs w:val="0"/>
                <w:color w:val="auto"/>
                <w:szCs w:val="24"/>
                <w:lang w:val="en-US" w:eastAsia="zh-CN"/>
              </w:rPr>
              <w:t>277.32</w:t>
            </w:r>
          </w:p>
        </w:tc>
        <w:tc>
          <w:tcPr>
            <w:tcW w:w="3260" w:type="dxa"/>
            <w:noWrap/>
            <w:vAlign w:val="center"/>
          </w:tcPr>
          <w:p w14:paraId="47973597">
            <w:pPr>
              <w:shd w:val="solid" w:color="FFFFFF" w:fill="auto"/>
              <w:autoSpaceDN w:val="0"/>
              <w:jc w:val="right"/>
              <w:textAlignment w:val="center"/>
              <w:rPr>
                <w:rFonts w:hint="eastAsia" w:ascii="Times New Roman" w:hAnsi="Times New Roman" w:eastAsia="宋体" w:cs="Times New Roman"/>
                <w:b w:val="0"/>
                <w:bCs w:val="0"/>
                <w:color w:val="auto"/>
                <w:szCs w:val="24"/>
                <w:lang w:val="en-US" w:eastAsia="zh-CN"/>
              </w:rPr>
            </w:pPr>
            <w:r>
              <w:rPr>
                <w:rFonts w:hint="default" w:ascii="Times New Roman" w:hAnsi="Times New Roman" w:eastAsia="宋体" w:cs="Times New Roman"/>
                <w:b w:val="0"/>
                <w:bCs w:val="0"/>
                <w:color w:val="auto"/>
                <w:szCs w:val="24"/>
                <w:lang w:val="en-US" w:eastAsia="zh-CN"/>
              </w:rPr>
              <w:t>325.24</w:t>
            </w:r>
          </w:p>
        </w:tc>
      </w:tr>
      <w:tr w14:paraId="113D2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2684" w:type="dxa"/>
            <w:shd w:val="clear" w:color="000000" w:fill="C0C0C0"/>
            <w:noWrap/>
            <w:vAlign w:val="center"/>
          </w:tcPr>
          <w:p w14:paraId="009E9079">
            <w:pPr>
              <w:widowControl/>
              <w:jc w:val="left"/>
              <w:rPr>
                <w:rFonts w:ascii="Times New Roman" w:hAnsi="Times New Roman" w:eastAsia="宋体"/>
                <w:b/>
                <w:bCs/>
                <w:kern w:val="0"/>
                <w:szCs w:val="24"/>
              </w:rPr>
            </w:pPr>
            <w:r>
              <w:rPr>
                <w:rFonts w:ascii="Times New Roman" w:hAnsi="Times New Roman" w:eastAsia="宋体"/>
                <w:b/>
                <w:bCs/>
                <w:kern w:val="0"/>
                <w:szCs w:val="24"/>
              </w:rPr>
              <w:t>其他债券</w:t>
            </w:r>
          </w:p>
        </w:tc>
        <w:tc>
          <w:tcPr>
            <w:tcW w:w="3118" w:type="dxa"/>
            <w:noWrap/>
            <w:vAlign w:val="center"/>
          </w:tcPr>
          <w:p w14:paraId="1BEB8F59">
            <w:pPr>
              <w:shd w:val="solid" w:color="FFFFFF" w:fill="auto"/>
              <w:autoSpaceDN w:val="0"/>
              <w:jc w:val="right"/>
              <w:textAlignment w:val="center"/>
              <w:rPr>
                <w:rFonts w:hint="eastAsia" w:ascii="Times New Roman" w:hAnsi="Times New Roman" w:eastAsia="宋体" w:cs="Times New Roman"/>
                <w:b w:val="0"/>
                <w:bCs w:val="0"/>
                <w:color w:val="auto"/>
                <w:szCs w:val="24"/>
                <w:lang w:val="en-US" w:eastAsia="zh-CN"/>
              </w:rPr>
            </w:pPr>
            <w:r>
              <w:rPr>
                <w:rFonts w:hint="default" w:ascii="Times New Roman" w:hAnsi="Times New Roman" w:eastAsia="宋体" w:cs="Times New Roman"/>
                <w:b w:val="0"/>
                <w:bCs w:val="0"/>
                <w:color w:val="auto"/>
                <w:szCs w:val="24"/>
                <w:lang w:val="en-US" w:eastAsia="zh-CN"/>
              </w:rPr>
              <w:t>0.00</w:t>
            </w:r>
          </w:p>
        </w:tc>
        <w:tc>
          <w:tcPr>
            <w:tcW w:w="3260" w:type="dxa"/>
            <w:noWrap/>
            <w:vAlign w:val="center"/>
          </w:tcPr>
          <w:p w14:paraId="5997B7F0">
            <w:pPr>
              <w:shd w:val="solid" w:color="FFFFFF" w:fill="auto"/>
              <w:autoSpaceDN w:val="0"/>
              <w:jc w:val="right"/>
              <w:textAlignment w:val="center"/>
              <w:rPr>
                <w:rFonts w:hint="eastAsia" w:ascii="Times New Roman" w:hAnsi="Times New Roman" w:eastAsia="宋体" w:cs="Times New Roman"/>
                <w:b w:val="0"/>
                <w:bCs w:val="0"/>
                <w:color w:val="auto"/>
                <w:szCs w:val="24"/>
                <w:lang w:val="en-US" w:eastAsia="zh-CN"/>
              </w:rPr>
            </w:pPr>
            <w:r>
              <w:rPr>
                <w:rFonts w:hint="default" w:ascii="Times New Roman" w:hAnsi="Times New Roman" w:eastAsia="宋体" w:cs="Times New Roman"/>
                <w:b w:val="0"/>
                <w:bCs w:val="0"/>
                <w:color w:val="auto"/>
                <w:szCs w:val="24"/>
                <w:lang w:val="en-US" w:eastAsia="zh-CN"/>
              </w:rPr>
              <w:t>0.00</w:t>
            </w:r>
          </w:p>
        </w:tc>
      </w:tr>
      <w:tr w14:paraId="51956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2684" w:type="dxa"/>
            <w:shd w:val="clear" w:color="000000" w:fill="C0C0C0"/>
            <w:noWrap/>
            <w:vAlign w:val="center"/>
          </w:tcPr>
          <w:p w14:paraId="1F4A46FF">
            <w:pPr>
              <w:widowControl/>
              <w:jc w:val="left"/>
              <w:rPr>
                <w:rFonts w:ascii="Times New Roman" w:hAnsi="Times New Roman" w:eastAsia="宋体"/>
                <w:b/>
                <w:bCs/>
                <w:kern w:val="0"/>
                <w:szCs w:val="24"/>
              </w:rPr>
            </w:pPr>
            <w:r>
              <w:rPr>
                <w:rFonts w:ascii="Times New Roman" w:hAnsi="Times New Roman" w:eastAsia="宋体"/>
                <w:b/>
                <w:bCs/>
                <w:kern w:val="0"/>
                <w:szCs w:val="24"/>
              </w:rPr>
              <w:t>合  计</w:t>
            </w:r>
          </w:p>
        </w:tc>
        <w:tc>
          <w:tcPr>
            <w:tcW w:w="3118" w:type="dxa"/>
            <w:noWrap/>
            <w:vAlign w:val="center"/>
          </w:tcPr>
          <w:p w14:paraId="6223D16D">
            <w:pPr>
              <w:shd w:val="solid" w:color="FFFFFF" w:fill="auto"/>
              <w:autoSpaceDN w:val="0"/>
              <w:jc w:val="right"/>
              <w:textAlignment w:val="center"/>
              <w:rPr>
                <w:rFonts w:hint="default" w:ascii="Times New Roman" w:hAnsi="Times New Roman" w:eastAsia="宋体" w:cs="Times New Roman"/>
                <w:b/>
                <w:bCs/>
                <w:color w:val="auto"/>
                <w:szCs w:val="24"/>
                <w:lang w:val="en-US" w:eastAsia="zh-CN"/>
              </w:rPr>
            </w:pPr>
            <w:r>
              <w:rPr>
                <w:rFonts w:hint="eastAsia" w:ascii="Times New Roman" w:hAnsi="Times New Roman" w:eastAsia="宋体" w:cs="Times New Roman"/>
                <w:b/>
                <w:bCs/>
                <w:color w:val="auto"/>
                <w:szCs w:val="24"/>
                <w:lang w:val="en-US" w:eastAsia="zh-CN"/>
              </w:rPr>
              <w:t>30,650.14</w:t>
            </w:r>
          </w:p>
        </w:tc>
        <w:tc>
          <w:tcPr>
            <w:tcW w:w="3260" w:type="dxa"/>
            <w:noWrap/>
            <w:vAlign w:val="center"/>
          </w:tcPr>
          <w:p w14:paraId="1F848A7E">
            <w:pPr>
              <w:shd w:val="solid" w:color="FFFFFF" w:fill="auto"/>
              <w:autoSpaceDN w:val="0"/>
              <w:jc w:val="right"/>
              <w:textAlignment w:val="center"/>
              <w:rPr>
                <w:rFonts w:hint="eastAsia" w:ascii="Times New Roman" w:hAnsi="Times New Roman" w:eastAsia="宋体" w:cs="Times New Roman"/>
                <w:b/>
                <w:bCs/>
                <w:color w:val="auto"/>
                <w:szCs w:val="24"/>
                <w:lang w:val="en-US" w:eastAsia="zh-CN"/>
              </w:rPr>
            </w:pPr>
            <w:r>
              <w:rPr>
                <w:rFonts w:hint="eastAsia" w:ascii="Times New Roman" w:hAnsi="Times New Roman" w:eastAsia="宋体" w:cs="Times New Roman"/>
                <w:b/>
                <w:bCs/>
                <w:color w:val="auto"/>
                <w:szCs w:val="24"/>
                <w:lang w:val="en-US" w:eastAsia="zh-CN"/>
              </w:rPr>
              <w:t>83,267.05</w:t>
            </w:r>
          </w:p>
        </w:tc>
      </w:tr>
    </w:tbl>
    <w:p w14:paraId="22EBCA74">
      <w:pPr>
        <w:tabs>
          <w:tab w:val="left" w:pos="7560"/>
          <w:tab w:val="left" w:pos="8100"/>
        </w:tabs>
        <w:spacing w:after="0" w:afterLines="0" w:line="360" w:lineRule="auto"/>
        <w:ind w:firstLine="0" w:firstLineChars="0"/>
        <w:contextualSpacing/>
        <w:jc w:val="right"/>
        <w:rPr>
          <w:rFonts w:ascii="Times New Roman" w:hAnsi="Times New Roman" w:eastAsia="宋体"/>
          <w:szCs w:val="24"/>
        </w:rPr>
      </w:pPr>
      <w:r>
        <w:rPr>
          <w:rFonts w:ascii="Times New Roman" w:hAnsi="Times New Roman" w:eastAsia="宋体" w:cs="Times New Roman"/>
          <w:color w:val="auto"/>
          <w:szCs w:val="24"/>
        </w:rPr>
        <w:t>数据来源：中国债券信息网</w:t>
      </w:r>
    </w:p>
    <w:p w14:paraId="3F1FE774">
      <w:pPr>
        <w:tabs>
          <w:tab w:val="left" w:pos="0"/>
          <w:tab w:val="left" w:pos="840"/>
        </w:tabs>
        <w:spacing w:before="156" w:beforeLines="50" w:after="156" w:afterLines="50"/>
        <w:rPr>
          <w:rFonts w:ascii="Times New Roman" w:hAnsi="Times New Roman" w:eastAsia="黑体"/>
          <w:b/>
          <w:color w:val="FFFFFF"/>
          <w:sz w:val="32"/>
          <w:szCs w:val="32"/>
          <w:highlight w:val="blue"/>
          <w:shd w:val="clear" w:color="FFFFFF" w:fill="D9D9D9"/>
        </w:rPr>
      </w:pPr>
      <w:r>
        <w:rPr>
          <w:rFonts w:ascii="Times New Roman" w:hAnsi="Times New Roman" w:eastAsia="黑体"/>
          <w:b/>
          <w:color w:val="FFFFFF"/>
          <w:sz w:val="32"/>
          <w:szCs w:val="32"/>
          <w:highlight w:val="blue"/>
          <w:shd w:val="clear" w:color="FFFFFF" w:fill="D9D9D9"/>
        </w:rPr>
        <w:t>新规及解读</w:t>
      </w:r>
    </w:p>
    <w:p w14:paraId="2C604E81">
      <w:pPr>
        <w:pStyle w:val="6"/>
        <w:numPr>
          <w:ilvl w:val="0"/>
          <w:numId w:val="3"/>
        </w:numPr>
        <w:shd w:val="clear" w:color="auto" w:fill="auto"/>
        <w:spacing w:after="156" w:afterLines="50" w:line="360" w:lineRule="auto"/>
        <w:ind w:left="0" w:firstLine="480" w:firstLineChars="200"/>
        <w:jc w:val="both"/>
        <w:outlineLvl w:val="1"/>
        <w:rPr>
          <w:rFonts w:hint="eastAsia" w:ascii="Times New Roman" w:hAnsi="Times New Roman" w:cs="Times New Roman"/>
          <w:szCs w:val="27"/>
          <w:highlight w:val="none"/>
          <w:lang w:val="en-US" w:eastAsia="zh-CN"/>
        </w:rPr>
      </w:pPr>
      <w:r>
        <w:rPr>
          <w:rFonts w:hint="eastAsia" w:ascii="Times New Roman" w:hAnsi="Times New Roman" w:cs="Times New Roman"/>
          <w:szCs w:val="27"/>
          <w:highlight w:val="none"/>
          <w:lang w:val="en-US" w:eastAsia="zh-CN"/>
        </w:rPr>
        <w:t>4月10日，中国证监会发布《关于深化创业板改革 更好服务新质生产力发展的意见》（以下简称《创业板意见》）。</w:t>
      </w:r>
    </w:p>
    <w:p w14:paraId="32282E97">
      <w:pPr>
        <w:pStyle w:val="6"/>
        <w:numPr>
          <w:ilvl w:val="0"/>
          <w:numId w:val="0"/>
        </w:numPr>
        <w:shd w:val="clear" w:color="auto" w:fill="auto"/>
        <w:spacing w:after="156" w:afterLines="50" w:line="360" w:lineRule="auto"/>
        <w:ind w:firstLine="480" w:firstLineChars="200"/>
        <w:jc w:val="both"/>
        <w:outlineLvl w:val="1"/>
        <w:rPr>
          <w:rFonts w:hint="eastAsia" w:ascii="Times New Roman" w:hAnsi="Times New Roman" w:cs="Times New Roman"/>
          <w:szCs w:val="27"/>
          <w:highlight w:val="none"/>
          <w:lang w:val="en-US" w:eastAsia="zh-CN"/>
        </w:rPr>
      </w:pPr>
      <w:r>
        <w:rPr>
          <w:rFonts w:hint="eastAsia" w:ascii="Times New Roman" w:hAnsi="Times New Roman" w:cs="Times New Roman"/>
          <w:szCs w:val="27"/>
          <w:highlight w:val="none"/>
          <w:lang w:val="en-US" w:eastAsia="zh-CN"/>
        </w:rPr>
        <w:t>《创业板意见》深入贯彻党中央、国务院决策部署，牢牢把握防风险、强监管、促高质量发展的工作主线，围绕持续深化资本市场投融资综合改革，优化创业板全链条创新和监管制度体系，进一步提高制度包容性、适应性，提出了一系列针对性的改革举措。</w:t>
      </w:r>
      <w:r>
        <w:rPr>
          <w:rFonts w:hint="eastAsia" w:ascii="Times New Roman" w:hAnsi="Times New Roman" w:cs="Times New Roman"/>
          <w:b/>
          <w:bCs/>
          <w:szCs w:val="27"/>
          <w:highlight w:val="none"/>
          <w:lang w:val="en-US" w:eastAsia="zh-CN"/>
        </w:rPr>
        <w:t>一是</w:t>
      </w:r>
      <w:r>
        <w:rPr>
          <w:rFonts w:hint="eastAsia" w:ascii="Times New Roman" w:hAnsi="Times New Roman" w:cs="Times New Roman"/>
          <w:szCs w:val="27"/>
          <w:highlight w:val="none"/>
          <w:lang w:val="en-US" w:eastAsia="zh-CN"/>
        </w:rPr>
        <w:t>突出板块功能定位，更好服务实体经济高质量发展。</w:t>
      </w:r>
      <w:r>
        <w:rPr>
          <w:rFonts w:hint="eastAsia" w:ascii="Times New Roman" w:hAnsi="Times New Roman" w:cs="Times New Roman"/>
          <w:b/>
          <w:bCs/>
          <w:szCs w:val="27"/>
          <w:highlight w:val="none"/>
          <w:lang w:val="en-US" w:eastAsia="zh-CN"/>
        </w:rPr>
        <w:t>二是</w:t>
      </w:r>
      <w:r>
        <w:rPr>
          <w:rFonts w:hint="eastAsia" w:ascii="Times New Roman" w:hAnsi="Times New Roman" w:cs="Times New Roman"/>
          <w:szCs w:val="27"/>
          <w:highlight w:val="none"/>
          <w:lang w:val="en-US" w:eastAsia="zh-CN"/>
        </w:rPr>
        <w:t>优化发行上市标准，提高包容性和吸引力。</w:t>
      </w:r>
      <w:r>
        <w:rPr>
          <w:rFonts w:hint="eastAsia" w:ascii="Times New Roman" w:hAnsi="Times New Roman" w:cs="Times New Roman"/>
          <w:b/>
          <w:bCs/>
          <w:szCs w:val="27"/>
          <w:highlight w:val="none"/>
          <w:lang w:val="en-US" w:eastAsia="zh-CN"/>
        </w:rPr>
        <w:t>三是</w:t>
      </w:r>
      <w:r>
        <w:rPr>
          <w:rFonts w:hint="eastAsia" w:ascii="Times New Roman" w:hAnsi="Times New Roman" w:cs="Times New Roman"/>
          <w:szCs w:val="27"/>
          <w:highlight w:val="none"/>
          <w:lang w:val="en-US" w:eastAsia="zh-CN"/>
        </w:rPr>
        <w:t>积极发挥地方政府作用，助力提高审核注册效率。</w:t>
      </w:r>
      <w:r>
        <w:rPr>
          <w:rFonts w:hint="eastAsia" w:ascii="Times New Roman" w:hAnsi="Times New Roman" w:cs="Times New Roman"/>
          <w:b/>
          <w:bCs/>
          <w:szCs w:val="27"/>
          <w:highlight w:val="none"/>
          <w:lang w:val="en-US" w:eastAsia="zh-CN"/>
        </w:rPr>
        <w:t>四是</w:t>
      </w:r>
      <w:r>
        <w:rPr>
          <w:rFonts w:hint="eastAsia" w:ascii="Times New Roman" w:hAnsi="Times New Roman" w:cs="Times New Roman"/>
          <w:szCs w:val="27"/>
          <w:highlight w:val="none"/>
          <w:lang w:val="en-US" w:eastAsia="zh-CN"/>
        </w:rPr>
        <w:t>严把发行上市遴选准入关，压紧压实审核注册全链条责任。</w:t>
      </w:r>
      <w:r>
        <w:rPr>
          <w:rFonts w:hint="eastAsia" w:ascii="Times New Roman" w:hAnsi="Times New Roman" w:cs="Times New Roman"/>
          <w:b/>
          <w:bCs/>
          <w:szCs w:val="27"/>
          <w:highlight w:val="none"/>
          <w:lang w:val="en-US" w:eastAsia="zh-CN"/>
        </w:rPr>
        <w:t>五是</w:t>
      </w:r>
      <w:r>
        <w:rPr>
          <w:rFonts w:hint="eastAsia" w:ascii="Times New Roman" w:hAnsi="Times New Roman" w:cs="Times New Roman"/>
          <w:szCs w:val="27"/>
          <w:highlight w:val="none"/>
          <w:lang w:val="en-US" w:eastAsia="zh-CN"/>
        </w:rPr>
        <w:t>完善融资并购制度，提升股债融资灵活性便利性。</w:t>
      </w:r>
      <w:r>
        <w:rPr>
          <w:rFonts w:hint="eastAsia" w:ascii="Times New Roman" w:hAnsi="Times New Roman" w:cs="Times New Roman"/>
          <w:b/>
          <w:bCs/>
          <w:szCs w:val="27"/>
          <w:highlight w:val="none"/>
          <w:lang w:val="en-US" w:eastAsia="zh-CN"/>
        </w:rPr>
        <w:t>六是</w:t>
      </w:r>
      <w:r>
        <w:rPr>
          <w:rFonts w:hint="eastAsia" w:ascii="Times New Roman" w:hAnsi="Times New Roman" w:cs="Times New Roman"/>
          <w:szCs w:val="27"/>
          <w:highlight w:val="none"/>
          <w:lang w:val="en-US" w:eastAsia="zh-CN"/>
        </w:rPr>
        <w:t>强化全过程监管，推动提高上市公司质量。</w:t>
      </w:r>
      <w:r>
        <w:rPr>
          <w:rFonts w:hint="eastAsia" w:ascii="Times New Roman" w:hAnsi="Times New Roman" w:cs="Times New Roman"/>
          <w:b/>
          <w:bCs/>
          <w:szCs w:val="27"/>
          <w:highlight w:val="none"/>
          <w:lang w:val="en-US" w:eastAsia="zh-CN"/>
        </w:rPr>
        <w:t>七是</w:t>
      </w:r>
      <w:r>
        <w:rPr>
          <w:rFonts w:hint="eastAsia" w:ascii="Times New Roman" w:hAnsi="Times New Roman" w:cs="Times New Roman"/>
          <w:szCs w:val="27"/>
          <w:highlight w:val="none"/>
          <w:lang w:val="en-US" w:eastAsia="zh-CN"/>
        </w:rPr>
        <w:t>进一步深化投资端改革，促进投融资协调发展。</w:t>
      </w:r>
      <w:r>
        <w:rPr>
          <w:rFonts w:hint="eastAsia" w:ascii="Times New Roman" w:hAnsi="Times New Roman" w:cs="Times New Roman"/>
          <w:b/>
          <w:bCs/>
          <w:szCs w:val="27"/>
          <w:highlight w:val="none"/>
          <w:lang w:val="en-US" w:eastAsia="zh-CN"/>
        </w:rPr>
        <w:t>八是</w:t>
      </w:r>
      <w:r>
        <w:rPr>
          <w:rFonts w:hint="eastAsia" w:ascii="Times New Roman" w:hAnsi="Times New Roman" w:cs="Times New Roman"/>
          <w:szCs w:val="27"/>
          <w:highlight w:val="none"/>
          <w:lang w:val="en-US" w:eastAsia="zh-CN"/>
        </w:rPr>
        <w:t>汇聚工作合力，共同营造良好市场发展生态。</w:t>
      </w:r>
    </w:p>
    <w:p w14:paraId="317A91CA">
      <w:pPr>
        <w:pStyle w:val="6"/>
        <w:numPr>
          <w:ilvl w:val="0"/>
          <w:numId w:val="0"/>
        </w:numPr>
        <w:shd w:val="clear" w:color="auto" w:fill="auto"/>
        <w:spacing w:after="156" w:afterLines="50" w:line="360" w:lineRule="auto"/>
        <w:ind w:firstLine="480" w:firstLineChars="200"/>
        <w:jc w:val="both"/>
        <w:outlineLvl w:val="1"/>
        <w:rPr>
          <w:rFonts w:hint="default" w:ascii="Times New Roman" w:hAnsi="Times New Roman" w:cs="Times New Roman"/>
          <w:szCs w:val="27"/>
          <w:highlight w:val="none"/>
          <w:lang w:val="en-US" w:eastAsia="zh-CN"/>
        </w:rPr>
      </w:pPr>
      <w:r>
        <w:rPr>
          <w:rFonts w:hint="default" w:ascii="Times New Roman" w:hAnsi="Times New Roman" w:cs="Times New Roman"/>
          <w:szCs w:val="27"/>
          <w:highlight w:val="none"/>
          <w:lang w:val="en-US" w:eastAsia="zh-CN"/>
        </w:rPr>
        <w:t>为落实《创业板意见》，4月24日深圳证券交易所（以下简称深交所）发布首批4件配套业务规则，包括《</w:t>
      </w:r>
      <w:r>
        <w:rPr>
          <w:rFonts w:hint="default" w:ascii="Times New Roman" w:hAnsi="Times New Roman" w:eastAsia="宋体" w:cs="Times New Roman"/>
          <w:i w:val="0"/>
          <w:iCs w:val="0"/>
          <w:caps w:val="0"/>
          <w:color w:val="333333"/>
          <w:spacing w:val="0"/>
          <w:sz w:val="24"/>
          <w:szCs w:val="24"/>
          <w:bdr w:val="none" w:color="auto" w:sz="0" w:space="0"/>
          <w:shd w:val="clear" w:fill="FFFFFF"/>
        </w:rPr>
        <w:t>深圳证券交易所创业板股票上市规则（2026年修订）</w:t>
      </w:r>
      <w:r>
        <w:rPr>
          <w:rFonts w:hint="default" w:ascii="Times New Roman" w:hAnsi="Times New Roman" w:cs="Times New Roman"/>
          <w:szCs w:val="27"/>
          <w:highlight w:val="none"/>
          <w:lang w:val="en-US" w:eastAsia="zh-CN"/>
        </w:rPr>
        <w:t>》《深圳证券交易所交易规则（2026年修订）》《深圳证券交易所首次公开发行证券发行与承销业务实施细则（2026年修订）》以及新制定的《深圳证券交易所股票发行上市审核业务指引第9号——预先审阅》</w:t>
      </w:r>
      <w:r>
        <w:rPr>
          <w:rFonts w:hint="eastAsia" w:ascii="Times New Roman" w:hAnsi="Times New Roman" w:cs="Times New Roman"/>
          <w:szCs w:val="27"/>
          <w:highlight w:val="none"/>
          <w:lang w:val="en-US" w:eastAsia="zh-CN"/>
        </w:rPr>
        <w:t>。</w:t>
      </w:r>
    </w:p>
    <w:p w14:paraId="3AC85396">
      <w:pPr>
        <w:pStyle w:val="6"/>
        <w:numPr>
          <w:ilvl w:val="0"/>
          <w:numId w:val="3"/>
        </w:numPr>
        <w:shd w:val="clear" w:color="auto" w:fill="auto"/>
        <w:spacing w:after="156" w:afterLines="50" w:line="360" w:lineRule="auto"/>
        <w:ind w:left="0" w:firstLine="480" w:firstLineChars="200"/>
        <w:jc w:val="both"/>
        <w:outlineLvl w:val="1"/>
        <w:rPr>
          <w:rFonts w:hint="eastAsia" w:ascii="Times New Roman" w:hAnsi="Times New Roman" w:cs="Times New Roman"/>
          <w:szCs w:val="27"/>
          <w:highlight w:val="none"/>
          <w:lang w:val="en-US" w:eastAsia="zh-CN"/>
        </w:rPr>
      </w:pPr>
      <w:r>
        <w:rPr>
          <w:rFonts w:hint="eastAsia" w:ascii="Times New Roman" w:hAnsi="Times New Roman" w:cs="Times New Roman"/>
          <w:szCs w:val="27"/>
          <w:highlight w:val="none"/>
          <w:lang w:val="en-US" w:eastAsia="zh-CN"/>
        </w:rPr>
        <w:t>4月17日，中国证监会公布《关于修改〈《上市公司证券发行注册管理办法》第九条、第十条、第十一条、第十三条、第四十条、第五十七条、第六十条有关规定的适用意见——证券期货法律适用意见第18号〉的决定》（中国证券监督管理委员会公告〔2026〕6号，</w:t>
      </w:r>
      <w:r>
        <w:rPr>
          <w:rFonts w:ascii="宋体" w:hAnsi="宋体" w:eastAsia="宋体" w:cs="宋体"/>
          <w:sz w:val="24"/>
          <w:szCs w:val="24"/>
        </w:rPr>
        <w:t>以下简称《法律适用意见》</w:t>
      </w:r>
      <w:r>
        <w:rPr>
          <w:rFonts w:hint="eastAsia" w:ascii="Times New Roman" w:hAnsi="Times New Roman" w:cs="Times New Roman"/>
          <w:szCs w:val="27"/>
          <w:highlight w:val="none"/>
          <w:lang w:val="en-US" w:eastAsia="zh-CN"/>
        </w:rPr>
        <w:t>），自公布之日起施行。</w:t>
      </w:r>
    </w:p>
    <w:p w14:paraId="2A65B9A8">
      <w:pPr>
        <w:pStyle w:val="6"/>
        <w:numPr>
          <w:ilvl w:val="0"/>
          <w:numId w:val="0"/>
        </w:numPr>
        <w:shd w:val="clear" w:color="auto" w:fill="auto"/>
        <w:spacing w:after="156" w:afterLines="50" w:line="360" w:lineRule="auto"/>
        <w:ind w:firstLine="480" w:firstLineChars="200"/>
        <w:jc w:val="both"/>
        <w:outlineLvl w:val="1"/>
        <w:rPr>
          <w:rFonts w:hint="eastAsia" w:ascii="Times New Roman" w:hAnsi="Times New Roman" w:cs="Times New Roman"/>
          <w:szCs w:val="27"/>
          <w:highlight w:val="none"/>
          <w:lang w:val="en-US" w:eastAsia="zh-CN"/>
        </w:rPr>
      </w:pPr>
      <w:r>
        <w:rPr>
          <w:rFonts w:ascii="宋体" w:hAnsi="宋体" w:eastAsia="宋体" w:cs="宋体"/>
          <w:sz w:val="24"/>
          <w:szCs w:val="24"/>
        </w:rPr>
        <w:t>《法律适用意见》</w:t>
      </w:r>
      <w:r>
        <w:rPr>
          <w:rFonts w:hint="eastAsia" w:ascii="Times New Roman" w:hAnsi="Times New Roman" w:cs="Times New Roman"/>
          <w:szCs w:val="27"/>
          <w:highlight w:val="none"/>
          <w:lang w:val="en-US" w:eastAsia="zh-CN"/>
        </w:rPr>
        <w:t>主要修改内容包括：</w:t>
      </w:r>
      <w:r>
        <w:rPr>
          <w:rFonts w:hint="eastAsia" w:ascii="Times New Roman" w:hAnsi="Times New Roman" w:cs="Times New Roman"/>
          <w:b/>
          <w:bCs/>
          <w:szCs w:val="27"/>
          <w:highlight w:val="none"/>
          <w:lang w:val="en-US" w:eastAsia="zh-CN"/>
        </w:rPr>
        <w:t>一是</w:t>
      </w:r>
      <w:r>
        <w:rPr>
          <w:rFonts w:hint="eastAsia" w:ascii="Times New Roman" w:hAnsi="Times New Roman" w:cs="Times New Roman"/>
          <w:szCs w:val="27"/>
          <w:highlight w:val="none"/>
          <w:lang w:val="en-US" w:eastAsia="zh-CN"/>
        </w:rPr>
        <w:t>扩大战略投资者类型。明确全国社保基金、基本养老保险基金、企业（职业）年金基金、商业保险资金（保险公司运用保险资金自行投资或者委托关联保险资产管理机构以及作为单一投资人通过关联保险资产管理机构发行的股权投资计划投资）、公募基金、银行理财等机构投资者可以作为战略投资者，以耐心资本作为战略性资源对上市公司战略投资。同时，在规则上将该类投资者界定为资本投资者，将其他实业投资者界定为产业投资者。</w:t>
      </w:r>
      <w:r>
        <w:rPr>
          <w:rFonts w:hint="eastAsia" w:ascii="Times New Roman" w:hAnsi="Times New Roman" w:cs="Times New Roman"/>
          <w:b/>
          <w:bCs/>
          <w:szCs w:val="27"/>
          <w:highlight w:val="none"/>
          <w:lang w:val="en-US" w:eastAsia="zh-CN"/>
        </w:rPr>
        <w:t>二是</w:t>
      </w:r>
      <w:r>
        <w:rPr>
          <w:rFonts w:hint="eastAsia" w:ascii="Times New Roman" w:hAnsi="Times New Roman" w:cs="Times New Roman"/>
          <w:szCs w:val="27"/>
          <w:highlight w:val="none"/>
          <w:lang w:val="en-US" w:eastAsia="zh-CN"/>
        </w:rPr>
        <w:t>明确最低持股比例要求。坚持战略投资者应当持有上市公司较大比例股份，进一步明确战略投资者本次认购比例原则上不低于本次发行完成后上市公司总股本的 5%，可以根据持股比例参与上市公司治理。</w:t>
      </w:r>
      <w:r>
        <w:rPr>
          <w:rFonts w:hint="eastAsia" w:ascii="Times New Roman" w:hAnsi="Times New Roman" w:cs="Times New Roman"/>
          <w:b/>
          <w:bCs/>
          <w:szCs w:val="27"/>
          <w:highlight w:val="none"/>
          <w:lang w:val="en-US" w:eastAsia="zh-CN"/>
        </w:rPr>
        <w:t>三是</w:t>
      </w:r>
      <w:r>
        <w:rPr>
          <w:rFonts w:hint="eastAsia" w:ascii="Times New Roman" w:hAnsi="Times New Roman" w:cs="Times New Roman"/>
          <w:szCs w:val="27"/>
          <w:highlight w:val="none"/>
          <w:lang w:val="en-US" w:eastAsia="zh-CN"/>
        </w:rPr>
        <w:t xml:space="preserve">明确资本投资者的基本要求。在长期、较大比例持股和提名董事参与公司治理基础上，要求资本投资者应当深入了解上市公司产业发展，能够帮助上市公司引入战略性资源，或者显著改善上市公司治理和内部控制，促进上市公司市场资源整合或者增强核心竞争力。 </w:t>
      </w:r>
      <w:r>
        <w:rPr>
          <w:rFonts w:hint="eastAsia" w:ascii="Times New Roman" w:hAnsi="Times New Roman" w:cs="Times New Roman"/>
          <w:b/>
          <w:bCs/>
          <w:szCs w:val="27"/>
          <w:highlight w:val="none"/>
          <w:lang w:val="en-US" w:eastAsia="zh-CN"/>
        </w:rPr>
        <w:t>四是</w:t>
      </w:r>
      <w:r>
        <w:rPr>
          <w:rFonts w:hint="eastAsia" w:ascii="Times New Roman" w:hAnsi="Times New Roman" w:cs="Times New Roman"/>
          <w:szCs w:val="27"/>
          <w:highlight w:val="none"/>
          <w:lang w:val="en-US" w:eastAsia="zh-CN"/>
        </w:rPr>
        <w:t>完善信息披露要求。要求上市公司在年报中披露战略资源导入和整合的落实情况和效果。</w:t>
      </w:r>
      <w:r>
        <w:rPr>
          <w:rFonts w:hint="eastAsia" w:ascii="Times New Roman" w:hAnsi="Times New Roman" w:cs="Times New Roman"/>
          <w:b/>
          <w:bCs/>
          <w:szCs w:val="27"/>
          <w:highlight w:val="none"/>
          <w:lang w:val="en-US" w:eastAsia="zh-CN"/>
        </w:rPr>
        <w:t>五是</w:t>
      </w:r>
      <w:r>
        <w:rPr>
          <w:rFonts w:hint="eastAsia" w:ascii="Times New Roman" w:hAnsi="Times New Roman" w:cs="Times New Roman"/>
          <w:szCs w:val="27"/>
          <w:highlight w:val="none"/>
          <w:lang w:val="en-US" w:eastAsia="zh-CN"/>
        </w:rPr>
        <w:t xml:space="preserve">进一步强化监管要求。强调战略投资者不得通过任何方式规避最低持股比例、股份锁定期要求，避免代持股份、绕道减持等违规行为，损害制度公信力。 </w:t>
      </w:r>
      <w:r>
        <w:rPr>
          <w:rFonts w:hint="eastAsia" w:ascii="Times New Roman" w:hAnsi="Times New Roman" w:cs="Times New Roman"/>
          <w:b/>
          <w:bCs/>
          <w:szCs w:val="27"/>
          <w:highlight w:val="none"/>
          <w:lang w:val="en-US" w:eastAsia="zh-CN"/>
        </w:rPr>
        <w:t>六是</w:t>
      </w:r>
      <w:r>
        <w:rPr>
          <w:rFonts w:hint="eastAsia" w:ascii="Times New Roman" w:hAnsi="Times New Roman" w:cs="Times New Roman"/>
          <w:szCs w:val="27"/>
          <w:highlight w:val="none"/>
          <w:lang w:val="en-US" w:eastAsia="zh-CN"/>
        </w:rPr>
        <w:t>完善相关文字表述。</w:t>
      </w:r>
    </w:p>
    <w:p w14:paraId="4867E567">
      <w:pPr>
        <w:pStyle w:val="6"/>
        <w:numPr>
          <w:ilvl w:val="0"/>
          <w:numId w:val="3"/>
        </w:numPr>
        <w:shd w:val="clear" w:color="auto" w:fill="auto"/>
        <w:spacing w:after="156" w:afterLines="50" w:line="360" w:lineRule="auto"/>
        <w:ind w:left="0" w:firstLine="480" w:firstLineChars="200"/>
        <w:jc w:val="both"/>
        <w:outlineLvl w:val="1"/>
        <w:rPr>
          <w:rFonts w:ascii="Times New Roman" w:hAnsi="Times New Roman" w:eastAsia="宋体" w:cs="Times New Roman"/>
          <w:szCs w:val="27"/>
          <w:highlight w:val="none"/>
        </w:rPr>
      </w:pPr>
      <w:r>
        <w:rPr>
          <w:rFonts w:hint="eastAsia" w:ascii="Times New Roman" w:hAnsi="Times New Roman" w:cs="Times New Roman"/>
          <w:szCs w:val="27"/>
          <w:highlight w:val="none"/>
          <w:lang w:val="en-US" w:eastAsia="zh-CN"/>
        </w:rPr>
        <w:t>4</w:t>
      </w:r>
      <w:r>
        <w:rPr>
          <w:rFonts w:hint="eastAsia" w:ascii="Times New Roman" w:hAnsi="Times New Roman" w:eastAsia="宋体" w:cs="Times New Roman"/>
          <w:szCs w:val="27"/>
          <w:highlight w:val="none"/>
        </w:rPr>
        <w:t>月</w:t>
      </w:r>
      <w:r>
        <w:rPr>
          <w:rFonts w:hint="eastAsia" w:ascii="Times New Roman" w:hAnsi="Times New Roman" w:cs="Times New Roman"/>
          <w:szCs w:val="27"/>
          <w:highlight w:val="none"/>
          <w:lang w:val="en-US" w:eastAsia="zh-CN"/>
        </w:rPr>
        <w:t>24</w:t>
      </w:r>
      <w:r>
        <w:rPr>
          <w:rFonts w:hint="eastAsia" w:ascii="Times New Roman" w:hAnsi="Times New Roman" w:eastAsia="宋体" w:cs="Times New Roman"/>
          <w:szCs w:val="27"/>
          <w:highlight w:val="none"/>
        </w:rPr>
        <w:t>日，中国人民银行、工业和信息化部、市场监管总局、金融监管总局、中国证监会、国家知识产权局、国家网信办、国家外汇局制定</w:t>
      </w:r>
      <w:r>
        <w:rPr>
          <w:rFonts w:hint="eastAsia" w:ascii="Times New Roman" w:hAnsi="Times New Roman" w:cs="Times New Roman"/>
          <w:szCs w:val="27"/>
          <w:highlight w:val="none"/>
          <w:lang w:val="en-US" w:eastAsia="zh-CN"/>
        </w:rPr>
        <w:t>发布</w:t>
      </w:r>
      <w:r>
        <w:rPr>
          <w:rFonts w:hint="eastAsia" w:ascii="Times New Roman" w:hAnsi="Times New Roman" w:eastAsia="宋体" w:cs="Times New Roman"/>
          <w:szCs w:val="27"/>
          <w:highlight w:val="none"/>
        </w:rPr>
        <w:t>《金融产品网络营销管理办法》（以下简称《办法》），自2026年9月30日起实施。</w:t>
      </w:r>
    </w:p>
    <w:p w14:paraId="75645AA1">
      <w:pPr>
        <w:pStyle w:val="6"/>
        <w:numPr>
          <w:ilvl w:val="0"/>
          <w:numId w:val="0"/>
        </w:numPr>
        <w:shd w:val="clear" w:color="auto" w:fill="auto"/>
        <w:spacing w:after="156" w:afterLines="50" w:line="360" w:lineRule="auto"/>
        <w:ind w:firstLine="480" w:firstLineChars="200"/>
        <w:jc w:val="both"/>
        <w:outlineLvl w:val="1"/>
        <w:rPr>
          <w:rFonts w:ascii="Times New Roman" w:hAnsi="Times New Roman" w:eastAsia="宋体" w:cs="Times New Roman"/>
          <w:szCs w:val="27"/>
          <w:highlight w:val="none"/>
        </w:rPr>
      </w:pPr>
      <w:r>
        <w:rPr>
          <w:rFonts w:hint="eastAsia" w:ascii="Times New Roman" w:hAnsi="Times New Roman" w:eastAsia="宋体" w:cs="Times New Roman"/>
          <w:szCs w:val="27"/>
          <w:highlight w:val="none"/>
        </w:rPr>
        <w:t>《办法》对金融机构开展金融产品网络营销以及第三方互联网平台接受金融机构委托为金融产品网络营销提供服务的行为进行全面规范。其中，金融机构是指经国务院或金融管理部门批准设立的从事金融业务的机构，地方金融组织由地方金融管理机构参照《办法》规定管理。第三方互联网平台是指非金融机构自营的，为金融产品网络营销提供服务的网站、移动互联网应用程序等；第三方互联网平台为金融产品网络营销提供服务，应当接受金融机构依法委托，符合金融管理部门相关监管要求，不得超出金融机构委托范围。</w:t>
      </w:r>
    </w:p>
    <w:p w14:paraId="19CC3E72">
      <w:pPr>
        <w:pStyle w:val="6"/>
        <w:numPr>
          <w:ilvl w:val="0"/>
          <w:numId w:val="3"/>
        </w:numPr>
        <w:shd w:val="clear" w:color="auto" w:fill="FFFFFF"/>
        <w:tabs>
          <w:tab w:val="left" w:pos="426"/>
        </w:tabs>
        <w:adjustRightInd w:val="0"/>
        <w:snapToGrid w:val="0"/>
        <w:spacing w:after="156" w:afterLines="50" w:line="360" w:lineRule="auto"/>
        <w:ind w:left="0" w:firstLine="480" w:firstLineChars="200"/>
        <w:jc w:val="both"/>
        <w:outlineLvl w:val="1"/>
        <w:rPr>
          <w:rFonts w:hint="eastAsia" w:ascii="Times New Roman" w:hAnsi="Times New Roman" w:eastAsia="宋体" w:cs="Times New Roman"/>
          <w:color w:val="000000"/>
          <w:szCs w:val="27"/>
        </w:rPr>
      </w:pPr>
      <w:r>
        <w:rPr>
          <w:rFonts w:hint="eastAsia" w:ascii="Times New Roman" w:hAnsi="Times New Roman" w:cs="Times New Roman"/>
          <w:color w:val="000000"/>
          <w:szCs w:val="27"/>
          <w:lang w:val="en-US" w:eastAsia="zh-CN"/>
        </w:rPr>
        <w:t>4</w:t>
      </w:r>
      <w:r>
        <w:rPr>
          <w:rFonts w:hint="eastAsia" w:ascii="Times New Roman" w:hAnsi="Times New Roman" w:eastAsia="宋体" w:cs="Times New Roman"/>
          <w:color w:val="000000"/>
          <w:szCs w:val="27"/>
          <w:lang w:val="en-US" w:eastAsia="zh-CN"/>
        </w:rPr>
        <w:t>月</w:t>
      </w:r>
      <w:r>
        <w:rPr>
          <w:rFonts w:hint="eastAsia" w:ascii="Times New Roman" w:hAnsi="Times New Roman" w:cs="Times New Roman"/>
          <w:color w:val="000000"/>
          <w:szCs w:val="27"/>
          <w:lang w:val="en-US" w:eastAsia="zh-CN"/>
        </w:rPr>
        <w:t>24</w:t>
      </w:r>
      <w:r>
        <w:rPr>
          <w:rFonts w:hint="eastAsia" w:ascii="Times New Roman" w:hAnsi="Times New Roman" w:eastAsia="宋体" w:cs="Times New Roman"/>
          <w:color w:val="000000"/>
          <w:szCs w:val="27"/>
          <w:lang w:val="en-US" w:eastAsia="zh-CN"/>
        </w:rPr>
        <w:t>日，</w:t>
      </w:r>
      <w:r>
        <w:rPr>
          <w:rFonts w:hint="eastAsia" w:ascii="Times New Roman" w:hAnsi="Times New Roman" w:cs="Times New Roman"/>
          <w:color w:val="000000"/>
          <w:szCs w:val="27"/>
          <w:lang w:val="en-US" w:eastAsia="zh-CN"/>
        </w:rPr>
        <w:t>中国证监会制定发布《上市公司董事会秘书监管规则》（证监会公告〔2026〕8号）（以下简称《董秘规则》），自2026年5月24日起施行。</w:t>
      </w:r>
    </w:p>
    <w:p w14:paraId="395ED19F">
      <w:pPr>
        <w:pStyle w:val="6"/>
        <w:numPr>
          <w:ilvl w:val="0"/>
          <w:numId w:val="0"/>
        </w:numPr>
        <w:shd w:val="clear" w:color="auto" w:fill="FFFFFF"/>
        <w:tabs>
          <w:tab w:val="left" w:pos="426"/>
        </w:tabs>
        <w:adjustRightInd w:val="0"/>
        <w:snapToGrid w:val="0"/>
        <w:spacing w:after="156" w:afterLines="50" w:line="360" w:lineRule="auto"/>
        <w:ind w:left="0" w:leftChars="0" w:firstLine="480" w:firstLineChars="200"/>
        <w:jc w:val="both"/>
        <w:outlineLvl w:val="1"/>
        <w:rPr>
          <w:rFonts w:hint="eastAsia" w:ascii="Times New Roman" w:hAnsi="Times New Roman" w:eastAsia="宋体" w:cs="Times New Roman"/>
          <w:color w:val="000000"/>
          <w:szCs w:val="27"/>
        </w:rPr>
      </w:pPr>
      <w:r>
        <w:rPr>
          <w:rFonts w:hint="eastAsia" w:ascii="Times New Roman" w:hAnsi="Times New Roman" w:eastAsia="宋体" w:cs="Times New Roman"/>
          <w:color w:val="000000"/>
          <w:szCs w:val="27"/>
        </w:rPr>
        <w:t>《董秘规则》主要内容如下：</w:t>
      </w:r>
      <w:r>
        <w:rPr>
          <w:rFonts w:hint="eastAsia" w:ascii="Times New Roman" w:hAnsi="Times New Roman" w:eastAsia="宋体" w:cs="Times New Roman"/>
          <w:b/>
          <w:bCs/>
          <w:color w:val="000000"/>
          <w:szCs w:val="27"/>
        </w:rPr>
        <w:t>一是</w:t>
      </w:r>
      <w:r>
        <w:rPr>
          <w:rFonts w:hint="eastAsia" w:ascii="Times New Roman" w:hAnsi="Times New Roman" w:eastAsia="宋体" w:cs="Times New Roman"/>
          <w:color w:val="000000"/>
          <w:szCs w:val="27"/>
        </w:rPr>
        <w:t>明确职责范围。细化董事会秘书在信息披露、公司治理、内外部沟通等方面的具体职责。</w:t>
      </w:r>
      <w:r>
        <w:rPr>
          <w:rFonts w:hint="eastAsia" w:ascii="Times New Roman" w:hAnsi="Times New Roman" w:eastAsia="宋体" w:cs="Times New Roman"/>
          <w:b/>
          <w:bCs/>
          <w:color w:val="000000"/>
          <w:szCs w:val="27"/>
        </w:rPr>
        <w:t>二是</w:t>
      </w:r>
      <w:r>
        <w:rPr>
          <w:rFonts w:hint="eastAsia" w:ascii="Times New Roman" w:hAnsi="Times New Roman" w:eastAsia="宋体" w:cs="Times New Roman"/>
          <w:color w:val="000000"/>
          <w:szCs w:val="27"/>
        </w:rPr>
        <w:t>健全履职保障。从信息获取、履职平台、履职救济等多方面提供保障，促进董事会秘书充分依法履职。</w:t>
      </w:r>
      <w:r>
        <w:rPr>
          <w:rFonts w:hint="eastAsia" w:ascii="Times New Roman" w:hAnsi="Times New Roman" w:eastAsia="宋体" w:cs="Times New Roman"/>
          <w:b/>
          <w:bCs/>
          <w:color w:val="000000"/>
          <w:szCs w:val="27"/>
        </w:rPr>
        <w:t>三是</w:t>
      </w:r>
      <w:r>
        <w:rPr>
          <w:rFonts w:hint="eastAsia" w:ascii="Times New Roman" w:hAnsi="Times New Roman" w:eastAsia="宋体" w:cs="Times New Roman"/>
          <w:color w:val="000000"/>
          <w:szCs w:val="27"/>
        </w:rPr>
        <w:t>完善任职管理。提升董事会秘书任职的专业素养及合规要求，禁止可能影响独立履职的兼任。要求提名委员会对董事会秘书任职资格进行审查。</w:t>
      </w:r>
      <w:r>
        <w:rPr>
          <w:rFonts w:hint="eastAsia" w:ascii="Times New Roman" w:hAnsi="Times New Roman" w:eastAsia="宋体" w:cs="Times New Roman"/>
          <w:b/>
          <w:bCs/>
          <w:color w:val="000000"/>
          <w:szCs w:val="27"/>
        </w:rPr>
        <w:t>四是</w:t>
      </w:r>
      <w:r>
        <w:rPr>
          <w:rFonts w:hint="eastAsia" w:ascii="Times New Roman" w:hAnsi="Times New Roman" w:eastAsia="宋体" w:cs="Times New Roman"/>
          <w:color w:val="000000"/>
          <w:szCs w:val="27"/>
        </w:rPr>
        <w:t>强化责任追究。要求上市公司建立董事会秘书履职定期评价及责任追究机制；对上市公司出现违法违规但董事会秘书未勤勉尽责的，严格采取监管措施或者实施处罚。</w:t>
      </w:r>
      <w:r>
        <w:rPr>
          <w:rFonts w:hint="eastAsia" w:ascii="Times New Roman" w:hAnsi="Times New Roman" w:eastAsia="宋体" w:cs="Times New Roman"/>
          <w:b/>
          <w:bCs/>
          <w:color w:val="000000"/>
          <w:szCs w:val="27"/>
        </w:rPr>
        <w:t>五是</w:t>
      </w:r>
      <w:r>
        <w:rPr>
          <w:rFonts w:hint="eastAsia" w:ascii="Times New Roman" w:hAnsi="Times New Roman" w:eastAsia="宋体" w:cs="Times New Roman"/>
          <w:color w:val="000000"/>
          <w:szCs w:val="27"/>
        </w:rPr>
        <w:t>明确过渡期安排。对上市公司董事会秘书任职、兼职等事项设置过渡期至2027年12月31日。</w:t>
      </w:r>
    </w:p>
    <w:p w14:paraId="7427CBDC">
      <w:pPr>
        <w:pStyle w:val="6"/>
        <w:numPr>
          <w:ilvl w:val="0"/>
          <w:numId w:val="3"/>
        </w:numPr>
        <w:shd w:val="clear" w:color="auto" w:fill="FFFFFF"/>
        <w:tabs>
          <w:tab w:val="left" w:pos="426"/>
        </w:tabs>
        <w:adjustRightInd w:val="0"/>
        <w:snapToGrid w:val="0"/>
        <w:spacing w:after="156" w:afterLines="50" w:line="360" w:lineRule="auto"/>
        <w:ind w:left="0" w:firstLine="480" w:firstLineChars="200"/>
        <w:jc w:val="both"/>
        <w:outlineLvl w:val="1"/>
        <w:rPr>
          <w:rFonts w:hint="eastAsia" w:ascii="Times New Roman" w:hAnsi="Times New Roman" w:eastAsia="宋体" w:cs="Times New Roman"/>
          <w:color w:val="000000"/>
          <w:szCs w:val="27"/>
          <w:lang w:val="en-US" w:eastAsia="zh-CN"/>
        </w:rPr>
      </w:pPr>
      <w:r>
        <w:rPr>
          <w:rFonts w:hint="eastAsia" w:ascii="Times New Roman" w:hAnsi="Times New Roman" w:cs="Times New Roman"/>
          <w:color w:val="000000"/>
          <w:szCs w:val="27"/>
          <w:lang w:val="en-US" w:eastAsia="zh-CN"/>
        </w:rPr>
        <w:t>4</w:t>
      </w:r>
      <w:r>
        <w:rPr>
          <w:rFonts w:hint="eastAsia" w:ascii="Times New Roman" w:hAnsi="Times New Roman" w:eastAsia="宋体" w:cs="Times New Roman"/>
          <w:color w:val="000000"/>
          <w:szCs w:val="27"/>
          <w:lang w:val="en-US" w:eastAsia="zh-CN"/>
        </w:rPr>
        <w:t>月</w:t>
      </w:r>
      <w:r>
        <w:rPr>
          <w:rFonts w:hint="eastAsia" w:ascii="Times New Roman" w:hAnsi="Times New Roman" w:cs="Times New Roman"/>
          <w:color w:val="000000"/>
          <w:szCs w:val="27"/>
          <w:lang w:val="en-US" w:eastAsia="zh-CN"/>
        </w:rPr>
        <w:t>24</w:t>
      </w:r>
      <w:r>
        <w:rPr>
          <w:rFonts w:hint="eastAsia" w:ascii="Times New Roman" w:hAnsi="Times New Roman" w:eastAsia="宋体" w:cs="Times New Roman"/>
          <w:color w:val="000000"/>
          <w:szCs w:val="27"/>
          <w:lang w:val="en-US" w:eastAsia="zh-CN"/>
        </w:rPr>
        <w:t>日，</w:t>
      </w:r>
      <w:r>
        <w:rPr>
          <w:rFonts w:hint="eastAsia" w:ascii="Times New Roman" w:hAnsi="Times New Roman" w:cs="Times New Roman"/>
          <w:color w:val="000000"/>
          <w:szCs w:val="27"/>
          <w:lang w:val="en-US" w:eastAsia="zh-CN"/>
        </w:rPr>
        <w:t>上海证券交易所修订发布主板和科创板《上海证券交易所股票上市规则（2026年4月修订）》《上海证券交易所科创板股票上市规则（2026年4月修订）》《上海证券交易所上市公司自律监管指引第1号——规范运作（2026年4月修订）》《上海证券交易所科创板上市公司自律监管指引第1号——规范运作（2026年4月修订）》；深交所修订发布《深圳证券交易所上市公司自律监管指引第1号——主板上市公司规范运作（2026年修订）》《深圳证券交易所上市公司自律监管指引第2号——创业板上市公司规范运作（2026年修订）》；北京证券交易所（以下简称北交所）修订发布《北京证券交易所股票上市规则》，均</w:t>
      </w:r>
      <w:r>
        <w:rPr>
          <w:rFonts w:hint="eastAsia" w:ascii="Times New Roman" w:hAnsi="Times New Roman" w:eastAsia="宋体" w:cs="Times New Roman"/>
          <w:color w:val="000000"/>
          <w:szCs w:val="27"/>
          <w:lang w:val="en-US" w:eastAsia="zh-CN"/>
        </w:rPr>
        <w:t>自发布之日起施行。</w:t>
      </w:r>
    </w:p>
    <w:p w14:paraId="37038871">
      <w:pPr>
        <w:pStyle w:val="6"/>
        <w:numPr>
          <w:ilvl w:val="0"/>
          <w:numId w:val="0"/>
        </w:numPr>
        <w:shd w:val="clear" w:color="auto" w:fill="FFFFFF"/>
        <w:tabs>
          <w:tab w:val="left" w:pos="426"/>
        </w:tabs>
        <w:adjustRightInd w:val="0"/>
        <w:snapToGrid w:val="0"/>
        <w:spacing w:after="156" w:afterLines="50" w:line="360" w:lineRule="auto"/>
        <w:ind w:left="0" w:leftChars="0" w:firstLine="480" w:firstLineChars="200"/>
        <w:jc w:val="both"/>
        <w:outlineLvl w:val="1"/>
        <w:rPr>
          <w:rFonts w:hint="default" w:ascii="Times New Roman" w:hAnsi="Times New Roman" w:eastAsia="宋体" w:cs="宋体"/>
          <w:sz w:val="24"/>
          <w:szCs w:val="24"/>
          <w:lang w:val="en-US" w:eastAsia="zh-CN"/>
        </w:rPr>
      </w:pPr>
      <w:r>
        <w:rPr>
          <w:rFonts w:hint="default" w:ascii="Times New Roman" w:hAnsi="Times New Roman" w:eastAsia="宋体" w:cs="宋体"/>
          <w:sz w:val="24"/>
          <w:szCs w:val="24"/>
          <w:lang w:val="en-US" w:eastAsia="zh-CN"/>
        </w:rPr>
        <w:t>本次规则修订主要内容包括：</w:t>
      </w:r>
      <w:r>
        <w:rPr>
          <w:rFonts w:hint="default" w:ascii="Times New Roman" w:hAnsi="Times New Roman" w:eastAsia="宋体" w:cs="宋体"/>
          <w:b/>
          <w:bCs/>
          <w:sz w:val="24"/>
          <w:szCs w:val="24"/>
          <w:lang w:val="en-US" w:eastAsia="zh-CN"/>
        </w:rPr>
        <w:t>一是</w:t>
      </w:r>
      <w:r>
        <w:rPr>
          <w:rFonts w:hint="default" w:ascii="Times New Roman" w:hAnsi="Times New Roman" w:eastAsia="宋体" w:cs="宋体"/>
          <w:sz w:val="24"/>
          <w:szCs w:val="24"/>
          <w:lang w:val="en-US" w:eastAsia="zh-CN"/>
        </w:rPr>
        <w:t>落实衔接《上市公司董事会秘书监管规则》。</w:t>
      </w:r>
      <w:r>
        <w:rPr>
          <w:rFonts w:hint="default" w:ascii="Times New Roman" w:hAnsi="Times New Roman" w:eastAsia="宋体" w:cs="宋体"/>
          <w:b/>
          <w:bCs/>
          <w:sz w:val="24"/>
          <w:szCs w:val="24"/>
          <w:lang w:val="en-US" w:eastAsia="zh-CN"/>
        </w:rPr>
        <w:t>二是</w:t>
      </w:r>
      <w:r>
        <w:rPr>
          <w:rFonts w:hint="default" w:ascii="Times New Roman" w:hAnsi="Times New Roman" w:eastAsia="宋体" w:cs="宋体"/>
          <w:sz w:val="24"/>
          <w:szCs w:val="24"/>
          <w:lang w:val="en-US" w:eastAsia="zh-CN"/>
        </w:rPr>
        <w:t>完善董事、高管履职管理，要求上市公司根据《上市公司治理准则》制定董事、高管激励约束机制，明确董事、高管的赔偿责任，细化董事参与决策的履职要求等。</w:t>
      </w:r>
      <w:r>
        <w:rPr>
          <w:rFonts w:hint="default" w:ascii="Times New Roman" w:hAnsi="Times New Roman" w:eastAsia="宋体" w:cs="宋体"/>
          <w:b/>
          <w:bCs/>
          <w:sz w:val="24"/>
          <w:szCs w:val="24"/>
          <w:lang w:val="en-US" w:eastAsia="zh-CN"/>
        </w:rPr>
        <w:t>三是</w:t>
      </w:r>
      <w:r>
        <w:rPr>
          <w:rFonts w:hint="default" w:ascii="Times New Roman" w:hAnsi="Times New Roman" w:eastAsia="宋体" w:cs="宋体"/>
          <w:sz w:val="24"/>
          <w:szCs w:val="24"/>
          <w:lang w:val="en-US" w:eastAsia="zh-CN"/>
        </w:rPr>
        <w:t>规范控股股东、实际控制人行为，进一步规范同业竞争等事项，对于控股股东、实际控制人同时担任公司董事长和总经理的，要求公司合理确定董事会和总经理职权并做好信息披露。本次修订还优化了上市公司合并机制，规范上市公司预重整相关事项的信息披露。</w:t>
      </w:r>
    </w:p>
    <w:p w14:paraId="43E1CD65">
      <w:pPr>
        <w:pStyle w:val="6"/>
        <w:numPr>
          <w:ilvl w:val="0"/>
          <w:numId w:val="3"/>
        </w:numPr>
        <w:shd w:val="clear" w:color="auto" w:fill="FFFFFF"/>
        <w:tabs>
          <w:tab w:val="left" w:pos="426"/>
        </w:tabs>
        <w:adjustRightInd w:val="0"/>
        <w:snapToGrid w:val="0"/>
        <w:spacing w:after="156" w:afterLines="50" w:line="360" w:lineRule="auto"/>
        <w:ind w:left="0" w:firstLine="480" w:firstLineChars="200"/>
        <w:jc w:val="both"/>
        <w:outlineLvl w:val="1"/>
        <w:rPr>
          <w:rFonts w:hint="default" w:ascii="Times New Roman" w:hAnsi="Times New Roman" w:cs="Times New Roman"/>
          <w:color w:val="000000"/>
          <w:szCs w:val="27"/>
          <w:lang w:val="en-US" w:eastAsia="zh-CN"/>
        </w:rPr>
      </w:pPr>
      <w:r>
        <w:rPr>
          <w:rFonts w:hint="eastAsia" w:ascii="Times New Roman" w:hAnsi="Times New Roman" w:cs="Times New Roman"/>
          <w:color w:val="000000"/>
          <w:szCs w:val="27"/>
          <w:lang w:val="en-US" w:eastAsia="zh-CN"/>
        </w:rPr>
        <w:t>4月30日，北交所发布《北京证券交易所非公开发行公司债券挂牌规则》以及配套的12件指引和7件指南，推出非公开发行公司债券业务（以下简称私募债）</w:t>
      </w:r>
      <w:r>
        <w:rPr>
          <w:rFonts w:hint="eastAsia" w:ascii="Times New Roman" w:hAnsi="Times New Roman" w:cs="Times New Roman"/>
          <w:color w:val="000000"/>
          <w:szCs w:val="27"/>
          <w:lang w:val="en-US" w:eastAsia="zh-CN"/>
        </w:rPr>
        <w:t>。北交所将于2026年5月6日正式启动私募债受理审核工作。</w:t>
      </w:r>
    </w:p>
    <w:p w14:paraId="15C793DB">
      <w:pPr>
        <w:tabs>
          <w:tab w:val="left" w:pos="0"/>
          <w:tab w:val="left" w:pos="840"/>
        </w:tabs>
        <w:spacing w:before="156" w:beforeLines="50" w:after="156" w:afterLines="50"/>
        <w:rPr>
          <w:rFonts w:ascii="Times New Roman" w:hAnsi="Times New Roman" w:eastAsia="黑体"/>
          <w:b/>
          <w:color w:val="FFFFFF"/>
          <w:sz w:val="32"/>
          <w:szCs w:val="32"/>
          <w:highlight w:val="blue"/>
          <w:shd w:val="clear" w:color="FFFFFF" w:fill="D9D9D9"/>
        </w:rPr>
      </w:pPr>
      <w:r>
        <w:rPr>
          <w:rFonts w:ascii="Times New Roman" w:hAnsi="Times New Roman" w:eastAsia="黑体"/>
          <w:b/>
          <w:color w:val="FFFFFF"/>
          <w:sz w:val="32"/>
          <w:szCs w:val="32"/>
          <w:highlight w:val="blue"/>
          <w:shd w:val="clear" w:color="FFFFFF" w:fill="D9D9D9"/>
        </w:rPr>
        <w:t>市场要闻</w:t>
      </w:r>
    </w:p>
    <w:p w14:paraId="4C634BFB">
      <w:pPr>
        <w:pStyle w:val="6"/>
        <w:numPr>
          <w:ilvl w:val="0"/>
          <w:numId w:val="3"/>
        </w:numPr>
        <w:adjustRightInd/>
        <w:snapToGrid/>
        <w:spacing w:after="157" w:afterLines="50" w:line="360" w:lineRule="auto"/>
        <w:ind w:left="0" w:leftChars="0" w:firstLine="480" w:firstLineChars="200"/>
        <w:rPr>
          <w:rFonts w:hint="default" w:ascii="Times New Roman" w:hAnsi="Times New Roman" w:cs="Times New Roman"/>
          <w:color w:val="000000"/>
          <w:szCs w:val="27"/>
          <w:lang w:val="en-US" w:eastAsia="zh-CN"/>
        </w:rPr>
      </w:pPr>
      <w:r>
        <w:rPr>
          <w:rFonts w:hint="default" w:ascii="Times New Roman" w:hAnsi="Times New Roman" w:cs="Times New Roman"/>
          <w:color w:val="000000"/>
          <w:szCs w:val="27"/>
          <w:lang w:val="en-US" w:eastAsia="zh-CN"/>
        </w:rPr>
        <w:t>中国证监会印发2026年度立法工作计划</w:t>
      </w:r>
    </w:p>
    <w:p w14:paraId="314B8E72">
      <w:pPr>
        <w:pStyle w:val="6"/>
        <w:numPr>
          <w:ilvl w:val="0"/>
          <w:numId w:val="0"/>
        </w:numPr>
        <w:shd w:val="clear" w:color="auto" w:fill="FFFFFF"/>
        <w:tabs>
          <w:tab w:val="left" w:pos="426"/>
        </w:tabs>
        <w:adjustRightInd w:val="0"/>
        <w:snapToGrid w:val="0"/>
        <w:spacing w:after="156" w:afterLines="50" w:line="360" w:lineRule="auto"/>
        <w:ind w:firstLine="480" w:firstLineChars="200"/>
        <w:jc w:val="both"/>
        <w:outlineLvl w:val="1"/>
        <w:rPr>
          <w:rFonts w:hint="eastAsia" w:ascii="Times New Roman" w:hAnsi="Times New Roman" w:cs="Times New Roman"/>
          <w:color w:val="000000"/>
          <w:szCs w:val="27"/>
          <w:lang w:val="en-US" w:eastAsia="zh-CN"/>
        </w:rPr>
      </w:pPr>
      <w:r>
        <w:rPr>
          <w:rFonts w:hint="eastAsia" w:ascii="Times New Roman" w:hAnsi="Times New Roman" w:cs="Times New Roman"/>
          <w:color w:val="000000"/>
          <w:szCs w:val="27"/>
          <w:lang w:val="en-US" w:eastAsia="zh-CN"/>
        </w:rPr>
        <w:t>4月10日，中国证监会发布了2026年度立法工作计划，对全年的立法工作做了总体部署。纳入中国证监会2026年度立法工作计划的规章项目共有20件，包括“力争年内出台的重点项目”8件以及“需要抓紧研究、择机出台的项目”12件。除了规章项目外，2026年中国证监会还将配合国务院有关部门做好行政法规的制定、修订工作；配合有关司法机关做好证券期货领域相关司法解释制定、修订工作。</w:t>
      </w:r>
    </w:p>
    <w:p w14:paraId="77339909">
      <w:pPr>
        <w:pStyle w:val="6"/>
        <w:numPr>
          <w:ilvl w:val="0"/>
          <w:numId w:val="3"/>
        </w:numPr>
        <w:adjustRightInd/>
        <w:snapToGrid/>
        <w:spacing w:after="157" w:afterLines="50" w:line="360" w:lineRule="auto"/>
        <w:ind w:left="0" w:leftChars="0" w:firstLine="480" w:firstLineChars="200"/>
        <w:rPr>
          <w:rFonts w:hint="default" w:ascii="Times New Roman" w:hAnsi="Times New Roman" w:eastAsia="宋体" w:cs="Times New Roman"/>
          <w:i w:val="0"/>
          <w:iCs w:val="0"/>
          <w:caps w:val="0"/>
          <w:color w:val="000000"/>
          <w:spacing w:val="0"/>
          <w:sz w:val="24"/>
          <w:szCs w:val="27"/>
          <w:shd w:val="clear"/>
          <w:lang w:val="en-US" w:eastAsia="zh-CN"/>
        </w:rPr>
      </w:pPr>
      <w:r>
        <w:rPr>
          <w:rFonts w:hint="default" w:ascii="Times New Roman" w:hAnsi="Times New Roman" w:cs="Times New Roman"/>
          <w:i w:val="0"/>
          <w:iCs w:val="0"/>
          <w:caps w:val="0"/>
          <w:color w:val="000000"/>
          <w:spacing w:val="0"/>
          <w:sz w:val="24"/>
          <w:szCs w:val="27"/>
          <w:shd w:val="clear"/>
          <w:lang w:val="en-US" w:eastAsia="zh-CN"/>
        </w:rPr>
        <w:t>中国</w:t>
      </w:r>
      <w:r>
        <w:rPr>
          <w:rFonts w:hint="default" w:ascii="Times New Roman" w:hAnsi="Times New Roman" w:eastAsia="宋体" w:cs="Times New Roman"/>
          <w:i w:val="0"/>
          <w:iCs w:val="0"/>
          <w:caps w:val="0"/>
          <w:color w:val="000000"/>
          <w:spacing w:val="0"/>
          <w:sz w:val="24"/>
          <w:szCs w:val="27"/>
          <w:shd w:val="clear"/>
          <w:lang w:val="en-US" w:eastAsia="zh-CN"/>
        </w:rPr>
        <w:t>证监会启动上市公司治理专项行动</w:t>
      </w:r>
    </w:p>
    <w:p w14:paraId="71E8EADD">
      <w:pPr>
        <w:pStyle w:val="6"/>
        <w:numPr>
          <w:ilvl w:val="0"/>
          <w:numId w:val="0"/>
        </w:numPr>
        <w:shd w:val="clear" w:color="auto" w:fill="FFFFFF"/>
        <w:tabs>
          <w:tab w:val="left" w:pos="426"/>
        </w:tabs>
        <w:adjustRightInd w:val="0"/>
        <w:snapToGrid w:val="0"/>
        <w:spacing w:after="156" w:afterLines="50" w:line="360" w:lineRule="auto"/>
        <w:ind w:firstLine="480" w:firstLineChars="200"/>
        <w:jc w:val="both"/>
        <w:outlineLvl w:val="1"/>
        <w:rPr>
          <w:rFonts w:hint="eastAsia" w:ascii="Times New Roman" w:hAnsi="Times New Roman" w:cs="Times New Roman"/>
          <w:color w:val="000000"/>
          <w:szCs w:val="27"/>
          <w:lang w:val="en-US" w:eastAsia="zh-CN"/>
        </w:rPr>
      </w:pPr>
      <w:r>
        <w:rPr>
          <w:rFonts w:hint="eastAsia" w:ascii="Times New Roman" w:hAnsi="Times New Roman" w:cs="Times New Roman"/>
          <w:color w:val="000000"/>
          <w:szCs w:val="27"/>
          <w:lang w:val="en-US" w:eastAsia="zh-CN"/>
        </w:rPr>
        <w:t>4月10日，中国证监会启动</w:t>
      </w:r>
      <w:r>
        <w:rPr>
          <w:rFonts w:hint="eastAsia" w:ascii="Times New Roman" w:hAnsi="Times New Roman" w:eastAsia="宋体" w:cs="Times New Roman"/>
          <w:i w:val="0"/>
          <w:iCs w:val="0"/>
          <w:caps w:val="0"/>
          <w:color w:val="000000"/>
          <w:spacing w:val="0"/>
          <w:sz w:val="24"/>
          <w:szCs w:val="27"/>
          <w:shd w:val="clear" w:color="auto" w:fill="auto"/>
          <w:lang w:val="en-US" w:eastAsia="zh-CN"/>
        </w:rPr>
        <w:t>上市公司治理专项行动</w:t>
      </w:r>
      <w:r>
        <w:rPr>
          <w:rFonts w:hint="eastAsia" w:ascii="Times New Roman" w:hAnsi="Times New Roman" w:cs="Times New Roman"/>
          <w:i w:val="0"/>
          <w:iCs w:val="0"/>
          <w:caps w:val="0"/>
          <w:color w:val="000000"/>
          <w:spacing w:val="0"/>
          <w:sz w:val="24"/>
          <w:szCs w:val="27"/>
          <w:shd w:val="clear" w:color="auto" w:fill="auto"/>
          <w:lang w:val="en-US" w:eastAsia="zh-CN"/>
        </w:rPr>
        <w:t>。本次专项</w:t>
      </w:r>
      <w:r>
        <w:rPr>
          <w:rFonts w:hint="eastAsia" w:ascii="Times New Roman" w:hAnsi="Times New Roman" w:cs="Times New Roman"/>
          <w:color w:val="000000"/>
          <w:szCs w:val="27"/>
          <w:lang w:val="en-US" w:eastAsia="zh-CN"/>
        </w:rPr>
        <w:t>行动聚焦八个方面：</w:t>
      </w:r>
      <w:r>
        <w:rPr>
          <w:rFonts w:hint="eastAsia" w:ascii="Times New Roman" w:hAnsi="Times New Roman" w:cs="Times New Roman"/>
          <w:b/>
          <w:bCs/>
          <w:color w:val="000000"/>
          <w:szCs w:val="27"/>
          <w:lang w:val="en-US" w:eastAsia="zh-CN"/>
        </w:rPr>
        <w:t>一是</w:t>
      </w:r>
      <w:r>
        <w:rPr>
          <w:rFonts w:hint="eastAsia" w:ascii="Times New Roman" w:hAnsi="Times New Roman" w:cs="Times New Roman"/>
          <w:color w:val="000000"/>
          <w:szCs w:val="27"/>
          <w:lang w:val="en-US" w:eastAsia="zh-CN"/>
        </w:rPr>
        <w:t>提高董事会秘书履职能力；</w:t>
      </w:r>
      <w:r>
        <w:rPr>
          <w:rFonts w:hint="eastAsia" w:ascii="Times New Roman" w:hAnsi="Times New Roman" w:cs="Times New Roman"/>
          <w:b/>
          <w:bCs/>
          <w:color w:val="000000"/>
          <w:szCs w:val="27"/>
          <w:lang w:val="en-US" w:eastAsia="zh-CN"/>
        </w:rPr>
        <w:t>二是</w:t>
      </w:r>
      <w:r>
        <w:rPr>
          <w:rFonts w:hint="eastAsia" w:ascii="Times New Roman" w:hAnsi="Times New Roman" w:cs="Times New Roman"/>
          <w:color w:val="000000"/>
          <w:szCs w:val="27"/>
          <w:lang w:val="en-US" w:eastAsia="zh-CN"/>
        </w:rPr>
        <w:t>支持第三方提名独立董事；</w:t>
      </w:r>
      <w:r>
        <w:rPr>
          <w:rFonts w:hint="eastAsia" w:ascii="Times New Roman" w:hAnsi="Times New Roman" w:cs="Times New Roman"/>
          <w:b/>
          <w:bCs/>
          <w:color w:val="000000"/>
          <w:szCs w:val="27"/>
          <w:lang w:val="en-US" w:eastAsia="zh-CN"/>
        </w:rPr>
        <w:t>三是</w:t>
      </w:r>
      <w:r>
        <w:rPr>
          <w:rFonts w:hint="eastAsia" w:ascii="Times New Roman" w:hAnsi="Times New Roman" w:cs="Times New Roman"/>
          <w:color w:val="000000"/>
          <w:szCs w:val="27"/>
          <w:lang w:val="en-US" w:eastAsia="zh-CN"/>
        </w:rPr>
        <w:t>支持审计委员会专项核查；</w:t>
      </w:r>
      <w:r>
        <w:rPr>
          <w:rFonts w:hint="eastAsia" w:ascii="Times New Roman" w:hAnsi="Times New Roman" w:cs="Times New Roman"/>
          <w:b/>
          <w:bCs/>
          <w:color w:val="000000"/>
          <w:szCs w:val="27"/>
          <w:lang w:val="en-US" w:eastAsia="zh-CN"/>
        </w:rPr>
        <w:t>四是</w:t>
      </w:r>
      <w:r>
        <w:rPr>
          <w:rFonts w:hint="eastAsia" w:ascii="Times New Roman" w:hAnsi="Times New Roman" w:cs="Times New Roman"/>
          <w:color w:val="000000"/>
          <w:szCs w:val="27"/>
          <w:lang w:val="en-US" w:eastAsia="zh-CN"/>
        </w:rPr>
        <w:t>督促造假公司追回超额发放的高管绩效薪酬；</w:t>
      </w:r>
      <w:r>
        <w:rPr>
          <w:rFonts w:hint="eastAsia" w:ascii="Times New Roman" w:hAnsi="Times New Roman" w:cs="Times New Roman"/>
          <w:b/>
          <w:bCs/>
          <w:color w:val="000000"/>
          <w:szCs w:val="27"/>
          <w:lang w:val="en-US" w:eastAsia="zh-CN"/>
        </w:rPr>
        <w:t>五是</w:t>
      </w:r>
      <w:r>
        <w:rPr>
          <w:rFonts w:hint="eastAsia" w:ascii="Times New Roman" w:hAnsi="Times New Roman" w:cs="Times New Roman"/>
          <w:color w:val="000000"/>
          <w:szCs w:val="27"/>
          <w:lang w:val="en-US" w:eastAsia="zh-CN"/>
        </w:rPr>
        <w:t>督促大股东归还占用资金；</w:t>
      </w:r>
      <w:r>
        <w:rPr>
          <w:rFonts w:hint="eastAsia" w:ascii="Times New Roman" w:hAnsi="Times New Roman" w:cs="Times New Roman"/>
          <w:b/>
          <w:bCs/>
          <w:color w:val="000000"/>
          <w:szCs w:val="27"/>
          <w:lang w:val="en-US" w:eastAsia="zh-CN"/>
        </w:rPr>
        <w:t>六是</w:t>
      </w:r>
      <w:r>
        <w:rPr>
          <w:rFonts w:hint="eastAsia" w:ascii="Times New Roman" w:hAnsi="Times New Roman" w:cs="Times New Roman"/>
          <w:color w:val="000000"/>
          <w:szCs w:val="27"/>
          <w:lang w:val="en-US" w:eastAsia="zh-CN"/>
        </w:rPr>
        <w:t>支持投服中心持股行权；</w:t>
      </w:r>
      <w:r>
        <w:rPr>
          <w:rFonts w:hint="eastAsia" w:ascii="Times New Roman" w:hAnsi="Times New Roman" w:cs="Times New Roman"/>
          <w:b/>
          <w:bCs/>
          <w:color w:val="000000"/>
          <w:szCs w:val="27"/>
          <w:lang w:val="en-US" w:eastAsia="zh-CN"/>
        </w:rPr>
        <w:t>七是</w:t>
      </w:r>
      <w:r>
        <w:rPr>
          <w:rFonts w:hint="eastAsia" w:ascii="Times New Roman" w:hAnsi="Times New Roman" w:cs="Times New Roman"/>
          <w:color w:val="000000"/>
          <w:szCs w:val="27"/>
          <w:lang w:val="en-US" w:eastAsia="zh-CN"/>
        </w:rPr>
        <w:t>引导具备条件的上市公司加强业务与财务系统的融合；</w:t>
      </w:r>
      <w:r>
        <w:rPr>
          <w:rFonts w:hint="eastAsia" w:ascii="Times New Roman" w:hAnsi="Times New Roman" w:cs="Times New Roman"/>
          <w:b/>
          <w:bCs/>
          <w:color w:val="000000"/>
          <w:szCs w:val="27"/>
          <w:lang w:val="en-US" w:eastAsia="zh-CN"/>
        </w:rPr>
        <w:t>八是</w:t>
      </w:r>
      <w:r>
        <w:rPr>
          <w:rFonts w:hint="eastAsia" w:ascii="Times New Roman" w:hAnsi="Times New Roman" w:cs="Times New Roman"/>
          <w:color w:val="000000"/>
          <w:szCs w:val="27"/>
          <w:lang w:val="en-US" w:eastAsia="zh-CN"/>
        </w:rPr>
        <w:t>组织《上市公司治理准则》培训。</w:t>
      </w:r>
    </w:p>
    <w:p w14:paraId="0E7FA675">
      <w:pPr>
        <w:pStyle w:val="6"/>
        <w:numPr>
          <w:ilvl w:val="0"/>
          <w:numId w:val="3"/>
        </w:numPr>
        <w:adjustRightInd/>
        <w:snapToGrid/>
        <w:spacing w:after="157" w:afterLines="50" w:line="360" w:lineRule="auto"/>
        <w:ind w:left="0" w:leftChars="0" w:firstLine="480" w:firstLineChars="200"/>
        <w:rPr>
          <w:rFonts w:hint="default" w:ascii="Times New Roman" w:hAnsi="Times New Roman" w:cs="Times New Roman"/>
          <w:color w:val="000000"/>
          <w:szCs w:val="27"/>
          <w:lang w:val="en-US" w:eastAsia="zh-CN"/>
        </w:rPr>
      </w:pPr>
      <w:r>
        <w:rPr>
          <w:rFonts w:hint="default" w:ascii="Times New Roman" w:hAnsi="Times New Roman" w:cs="Times New Roman"/>
          <w:color w:val="000000"/>
          <w:szCs w:val="27"/>
          <w:lang w:val="en-US" w:eastAsia="zh-CN"/>
        </w:rPr>
        <w:t>中国证监会</w:t>
      </w:r>
      <w:r>
        <w:rPr>
          <w:rFonts w:hint="eastAsia" w:ascii="Times New Roman" w:hAnsi="Times New Roman" w:cs="Times New Roman"/>
          <w:color w:val="000000"/>
          <w:szCs w:val="27"/>
          <w:lang w:val="en-US" w:eastAsia="zh-CN"/>
        </w:rPr>
        <w:t>公布</w:t>
      </w:r>
      <w:r>
        <w:rPr>
          <w:rFonts w:hint="default" w:ascii="Times New Roman" w:hAnsi="Times New Roman" w:cs="Times New Roman"/>
          <w:color w:val="000000"/>
          <w:szCs w:val="27"/>
          <w:lang w:val="en-US" w:eastAsia="zh-CN"/>
        </w:rPr>
        <w:t>2025年执法情况综述</w:t>
      </w:r>
    </w:p>
    <w:p w14:paraId="6A827658">
      <w:pPr>
        <w:pStyle w:val="6"/>
        <w:numPr>
          <w:ilvl w:val="0"/>
          <w:numId w:val="0"/>
        </w:numPr>
        <w:shd w:val="clear" w:color="auto" w:fill="FFFFFF"/>
        <w:tabs>
          <w:tab w:val="left" w:pos="426"/>
        </w:tabs>
        <w:adjustRightInd w:val="0"/>
        <w:snapToGrid w:val="0"/>
        <w:spacing w:after="156" w:afterLines="50" w:line="360" w:lineRule="auto"/>
        <w:ind w:firstLine="480" w:firstLineChars="200"/>
        <w:jc w:val="both"/>
        <w:outlineLvl w:val="1"/>
        <w:rPr>
          <w:rFonts w:hint="eastAsia" w:ascii="Times New Roman" w:hAnsi="Times New Roman" w:cs="Times New Roman"/>
          <w:color w:val="000000"/>
          <w:szCs w:val="27"/>
        </w:rPr>
      </w:pPr>
      <w:r>
        <w:rPr>
          <w:rFonts w:hint="eastAsia" w:ascii="Times New Roman" w:hAnsi="Times New Roman" w:cs="Times New Roman"/>
          <w:color w:val="000000"/>
          <w:szCs w:val="27"/>
          <w:lang w:val="en-US" w:eastAsia="zh-CN"/>
        </w:rPr>
        <w:t>4月17日，中国证监会网站公布</w:t>
      </w:r>
      <w:r>
        <w:rPr>
          <w:rFonts w:hint="default" w:ascii="Times New Roman" w:hAnsi="Times New Roman" w:cs="Times New Roman"/>
          <w:color w:val="000000"/>
          <w:szCs w:val="27"/>
          <w:lang w:val="en-US" w:eastAsia="zh-CN"/>
        </w:rPr>
        <w:t>2025年执法情况综述</w:t>
      </w:r>
      <w:r>
        <w:rPr>
          <w:rFonts w:hint="eastAsia" w:ascii="Times New Roman" w:hAnsi="Times New Roman" w:cs="Times New Roman"/>
          <w:color w:val="000000"/>
          <w:szCs w:val="27"/>
          <w:lang w:val="en-US" w:eastAsia="zh-CN"/>
        </w:rPr>
        <w:t>。2025年中国证监会查办违法违规案件701起。从案发领域看，信息披露违法案件200起，中介机构违法案件77起，内幕交易案件218起，操纵市场案件85起，私募基金违法案件26起，从业人员违法违规案件51起。</w:t>
      </w:r>
      <w:r>
        <w:rPr>
          <w:rFonts w:hint="eastAsia" w:ascii="Times New Roman" w:hAnsi="Times New Roman" w:cs="Times New Roman"/>
          <w:color w:val="000000"/>
          <w:szCs w:val="27"/>
        </w:rPr>
        <w:t>从案发趋势看，公司机构违法类与交易违法类案件呈“一降一升”态势。随着上市公司财务造假综合惩防体系逐步落地，市场生态明显好转，信息披露违法案件数量同比下降19.68%，中介机构违法案件数量同比下降18.95%。同时，伴随交易活跃，交易违法类案件数量有所增长，其中内幕交易案件数量同比增长22.47%，操纵市场案件数量同比增长19.72%。</w:t>
      </w:r>
    </w:p>
    <w:p w14:paraId="27DDCEA0">
      <w:pPr>
        <w:pStyle w:val="6"/>
        <w:numPr>
          <w:ilvl w:val="0"/>
          <w:numId w:val="3"/>
        </w:numPr>
        <w:adjustRightInd/>
        <w:snapToGrid/>
        <w:spacing w:after="157" w:afterLines="50" w:line="360" w:lineRule="auto"/>
        <w:ind w:left="0" w:leftChars="0" w:firstLine="480" w:firstLineChars="200"/>
        <w:rPr>
          <w:rFonts w:hint="default" w:ascii="Times New Roman" w:hAnsi="Times New Roman" w:cs="Times New Roman"/>
          <w:color w:val="000000"/>
          <w:szCs w:val="27"/>
          <w:lang w:val="en-US" w:eastAsia="zh-CN"/>
        </w:rPr>
      </w:pPr>
      <w:r>
        <w:rPr>
          <w:rFonts w:hint="eastAsia" w:ascii="Times New Roman" w:hAnsi="Times New Roman" w:cs="Times New Roman"/>
          <w:color w:val="000000"/>
          <w:szCs w:val="27"/>
          <w:lang w:val="en-US" w:eastAsia="zh-CN"/>
        </w:rPr>
        <w:t>中国证监会就《期货公司监督管理办法（征求意见稿）》及配套实施规定公开征求意见</w:t>
      </w:r>
    </w:p>
    <w:p w14:paraId="7C238F36">
      <w:pPr>
        <w:pStyle w:val="6"/>
        <w:keepNext w:val="0"/>
        <w:keepLines w:val="0"/>
        <w:pageBreakBefore w:val="0"/>
        <w:widowControl/>
        <w:numPr>
          <w:ilvl w:val="0"/>
          <w:numId w:val="0"/>
        </w:numPr>
        <w:shd w:val="clear" w:color="auto" w:fill="FFFFFF"/>
        <w:tabs>
          <w:tab w:val="left" w:pos="426"/>
        </w:tabs>
        <w:kinsoku/>
        <w:wordWrap/>
        <w:overflowPunct/>
        <w:topLinePunct w:val="0"/>
        <w:autoSpaceDE/>
        <w:autoSpaceDN/>
        <w:bidi w:val="0"/>
        <w:adjustRightInd w:val="0"/>
        <w:snapToGrid w:val="0"/>
        <w:spacing w:after="156" w:afterLines="50" w:line="360" w:lineRule="auto"/>
        <w:ind w:firstLine="480" w:firstLineChars="200"/>
        <w:jc w:val="both"/>
        <w:textAlignment w:val="auto"/>
        <w:outlineLvl w:val="1"/>
        <w:rPr>
          <w:rFonts w:hint="eastAsia" w:cs="宋体"/>
          <w:sz w:val="24"/>
          <w:szCs w:val="24"/>
          <w:lang w:eastAsia="zh-CN"/>
        </w:rPr>
      </w:pPr>
      <w:r>
        <w:rPr>
          <w:rFonts w:hint="eastAsia" w:ascii="Times New Roman" w:hAnsi="Times New Roman" w:cs="Times New Roman"/>
          <w:color w:val="000000"/>
          <w:szCs w:val="27"/>
          <w:lang w:val="en-US" w:eastAsia="zh-CN"/>
        </w:rPr>
        <w:t>4月17日，中国证监会通过其网站就《期货公司监督管理办法（征求意见稿）》及</w:t>
      </w:r>
      <w:r>
        <w:rPr>
          <w:rFonts w:ascii="宋体" w:hAnsi="宋体" w:eastAsia="宋体" w:cs="宋体"/>
          <w:sz w:val="24"/>
          <w:szCs w:val="24"/>
        </w:rPr>
        <w:t>《关于实施&lt;期货公司监督管理办法&gt;有关事项的公告（征求意见稿）》</w:t>
      </w:r>
      <w:r>
        <w:rPr>
          <w:rFonts w:hint="eastAsia" w:ascii="Times New Roman" w:hAnsi="Times New Roman" w:cs="Times New Roman"/>
          <w:color w:val="000000"/>
          <w:szCs w:val="27"/>
          <w:lang w:val="en-US" w:eastAsia="zh-CN"/>
        </w:rPr>
        <w:t>公开征求意见。</w:t>
      </w:r>
      <w:r>
        <w:rPr>
          <w:rFonts w:ascii="宋体" w:hAnsi="宋体" w:eastAsia="宋体" w:cs="宋体"/>
          <w:sz w:val="24"/>
          <w:szCs w:val="24"/>
        </w:rPr>
        <w:t>《期货公司监督管理办法（征求意见稿）》本次修订的主要内容包括：</w:t>
      </w:r>
      <w:r>
        <w:rPr>
          <w:rFonts w:hint="eastAsia" w:cs="宋体"/>
          <w:b/>
          <w:bCs/>
          <w:sz w:val="24"/>
          <w:szCs w:val="24"/>
          <w:lang w:val="en-US" w:eastAsia="zh-CN"/>
        </w:rPr>
        <w:t>一是</w:t>
      </w:r>
      <w:r>
        <w:rPr>
          <w:rFonts w:ascii="宋体" w:hAnsi="宋体" w:eastAsia="宋体" w:cs="宋体"/>
          <w:sz w:val="24"/>
          <w:szCs w:val="24"/>
        </w:rPr>
        <w:t>将境内子公司开展的金融业务全部收归期货公司经营</w:t>
      </w:r>
      <w:r>
        <w:rPr>
          <w:rFonts w:hint="eastAsia" w:cs="宋体"/>
          <w:sz w:val="24"/>
          <w:szCs w:val="24"/>
          <w:lang w:eastAsia="zh-CN"/>
        </w:rPr>
        <w:t>；</w:t>
      </w:r>
      <w:r>
        <w:rPr>
          <w:rFonts w:hint="eastAsia" w:cs="宋体"/>
          <w:b/>
          <w:bCs/>
          <w:sz w:val="24"/>
          <w:szCs w:val="24"/>
          <w:lang w:val="en-US" w:eastAsia="zh-CN"/>
        </w:rPr>
        <w:t>二是</w:t>
      </w:r>
      <w:r>
        <w:rPr>
          <w:rFonts w:ascii="宋体" w:hAnsi="宋体" w:eastAsia="宋体" w:cs="宋体"/>
          <w:sz w:val="24"/>
          <w:szCs w:val="24"/>
        </w:rPr>
        <w:t>强化股东、实际控制人的监管</w:t>
      </w:r>
      <w:r>
        <w:rPr>
          <w:rFonts w:hint="eastAsia" w:cs="宋体"/>
          <w:sz w:val="24"/>
          <w:szCs w:val="24"/>
          <w:lang w:eastAsia="zh-CN"/>
        </w:rPr>
        <w:t>；</w:t>
      </w:r>
      <w:r>
        <w:rPr>
          <w:rFonts w:hint="eastAsia" w:cs="宋体"/>
          <w:b/>
          <w:bCs/>
          <w:sz w:val="24"/>
          <w:szCs w:val="24"/>
          <w:lang w:val="en-US" w:eastAsia="zh-CN"/>
        </w:rPr>
        <w:t>三是</w:t>
      </w:r>
      <w:r>
        <w:rPr>
          <w:rFonts w:ascii="宋体" w:hAnsi="宋体" w:eastAsia="宋体" w:cs="宋体"/>
          <w:sz w:val="24"/>
          <w:szCs w:val="24"/>
        </w:rPr>
        <w:t>完善子公司和分支机构监管</w:t>
      </w:r>
      <w:r>
        <w:rPr>
          <w:rFonts w:hint="eastAsia" w:cs="宋体"/>
          <w:sz w:val="24"/>
          <w:szCs w:val="24"/>
          <w:lang w:eastAsia="zh-CN"/>
        </w:rPr>
        <w:t>；</w:t>
      </w:r>
      <w:r>
        <w:rPr>
          <w:rFonts w:hint="eastAsia" w:cs="宋体"/>
          <w:b/>
          <w:bCs/>
          <w:sz w:val="24"/>
          <w:szCs w:val="24"/>
          <w:lang w:val="en-US" w:eastAsia="zh-CN"/>
        </w:rPr>
        <w:t>四是</w:t>
      </w:r>
      <w:r>
        <w:rPr>
          <w:rFonts w:ascii="宋体" w:hAnsi="宋体" w:eastAsia="宋体" w:cs="宋体"/>
          <w:sz w:val="24"/>
          <w:szCs w:val="24"/>
        </w:rPr>
        <w:t>提高期货公司资产管理业务的“含期量”</w:t>
      </w:r>
      <w:r>
        <w:rPr>
          <w:rFonts w:hint="eastAsia" w:cs="宋体"/>
          <w:sz w:val="24"/>
          <w:szCs w:val="24"/>
          <w:lang w:eastAsia="zh-CN"/>
        </w:rPr>
        <w:t>；</w:t>
      </w:r>
      <w:r>
        <w:rPr>
          <w:rFonts w:hint="eastAsia" w:cs="宋体"/>
          <w:b/>
          <w:bCs/>
          <w:sz w:val="24"/>
          <w:szCs w:val="24"/>
          <w:lang w:val="en-US" w:eastAsia="zh-CN"/>
        </w:rPr>
        <w:t>五是</w:t>
      </w:r>
      <w:r>
        <w:rPr>
          <w:rFonts w:ascii="宋体" w:hAnsi="宋体" w:eastAsia="宋体" w:cs="宋体"/>
          <w:sz w:val="24"/>
          <w:szCs w:val="24"/>
        </w:rPr>
        <w:t>立法技术调整。《关于实施&lt;期货公司监督管理办法&gt;有关事项的公告（征求意见稿）》</w:t>
      </w:r>
      <w:r>
        <w:rPr>
          <w:rFonts w:hint="eastAsia" w:ascii="宋体" w:hAnsi="宋体" w:eastAsia="宋体" w:cs="宋体"/>
          <w:sz w:val="24"/>
          <w:szCs w:val="24"/>
        </w:rPr>
        <w:t>对期货公司申请增加有关业务行政许可事项、业务监管指标和期货公司境外子公司监管规则适用等方面做出了安排</w:t>
      </w:r>
      <w:r>
        <w:rPr>
          <w:rFonts w:hint="eastAsia" w:cs="宋体"/>
          <w:sz w:val="24"/>
          <w:szCs w:val="24"/>
          <w:lang w:eastAsia="zh-CN"/>
        </w:rPr>
        <w:t>。</w:t>
      </w:r>
    </w:p>
    <w:p w14:paraId="0769C68B">
      <w:pPr>
        <w:pStyle w:val="6"/>
        <w:numPr>
          <w:ilvl w:val="0"/>
          <w:numId w:val="3"/>
        </w:numPr>
        <w:adjustRightInd/>
        <w:snapToGrid/>
        <w:spacing w:after="157" w:afterLines="50" w:line="360" w:lineRule="auto"/>
        <w:ind w:left="0" w:leftChars="0" w:firstLine="480" w:firstLineChars="200"/>
        <w:rPr>
          <w:rFonts w:hint="eastAsia" w:ascii="Times New Roman" w:hAnsi="Times New Roman" w:cs="Times New Roman"/>
          <w:color w:val="000000"/>
          <w:szCs w:val="27"/>
          <w:lang w:val="en-US" w:eastAsia="zh-CN"/>
        </w:rPr>
      </w:pPr>
      <w:r>
        <w:rPr>
          <w:rFonts w:hint="eastAsia" w:ascii="Times New Roman" w:hAnsi="Times New Roman" w:cs="Times New Roman"/>
          <w:color w:val="000000"/>
          <w:szCs w:val="27"/>
          <w:lang w:val="en-US" w:eastAsia="zh-CN"/>
        </w:rPr>
        <w:t>中国证监会就《行政处罚案件违法所得认定办法（征求意见稿）》《违规转让证券案件行政处罚实施规则（征求意见稿）》公开征求意见</w:t>
      </w:r>
    </w:p>
    <w:p w14:paraId="35761425">
      <w:pPr>
        <w:pStyle w:val="6"/>
        <w:keepNext w:val="0"/>
        <w:keepLines w:val="0"/>
        <w:pageBreakBefore w:val="0"/>
        <w:widowControl/>
        <w:numPr>
          <w:ilvl w:val="0"/>
          <w:numId w:val="0"/>
        </w:numPr>
        <w:shd w:val="clear" w:color="auto" w:fill="FFFFFF"/>
        <w:tabs>
          <w:tab w:val="left" w:pos="426"/>
        </w:tabs>
        <w:kinsoku/>
        <w:wordWrap/>
        <w:overflowPunct/>
        <w:topLinePunct w:val="0"/>
        <w:autoSpaceDE/>
        <w:autoSpaceDN/>
        <w:bidi w:val="0"/>
        <w:adjustRightInd w:val="0"/>
        <w:snapToGrid w:val="0"/>
        <w:spacing w:after="156" w:afterLines="50" w:line="360" w:lineRule="auto"/>
        <w:ind w:firstLine="480" w:firstLineChars="200"/>
        <w:jc w:val="both"/>
        <w:textAlignment w:val="auto"/>
        <w:outlineLvl w:val="1"/>
        <w:rPr>
          <w:rFonts w:hint="eastAsia" w:ascii="Times New Roman" w:hAnsi="Times New Roman" w:cs="Times New Roman"/>
          <w:color w:val="000000"/>
          <w:szCs w:val="27"/>
          <w:lang w:val="en-US" w:eastAsia="zh-CN"/>
        </w:rPr>
      </w:pPr>
      <w:r>
        <w:rPr>
          <w:rFonts w:hint="eastAsia" w:ascii="Times New Roman" w:hAnsi="Times New Roman" w:cs="Times New Roman"/>
          <w:color w:val="000000"/>
          <w:szCs w:val="27"/>
          <w:lang w:val="en-US" w:eastAsia="zh-CN"/>
        </w:rPr>
        <w:t>4月17日，中国证监会通过其网站就《行政处罚案件违法所得认定办法（征求意见稿）》《违规转让证券案件行政处罚实施规则（征求意见稿）》征求意见。《行政处罚案件违法所得认定办法（征求意见稿）》主要内容包括：</w:t>
      </w:r>
      <w:r>
        <w:rPr>
          <w:rFonts w:hint="eastAsia" w:ascii="Times New Roman" w:hAnsi="Times New Roman" w:cs="Times New Roman"/>
          <w:b/>
          <w:bCs/>
          <w:color w:val="000000"/>
          <w:szCs w:val="27"/>
          <w:lang w:val="en-US" w:eastAsia="zh-CN"/>
        </w:rPr>
        <w:t>一是</w:t>
      </w:r>
      <w:r>
        <w:rPr>
          <w:rFonts w:hint="eastAsia" w:ascii="Times New Roman" w:hAnsi="Times New Roman" w:cs="Times New Roman"/>
          <w:color w:val="000000"/>
          <w:szCs w:val="27"/>
          <w:lang w:val="en-US" w:eastAsia="zh-CN"/>
        </w:rPr>
        <w:t>明确违法所得的定义。明确违法所得是指通过证券期货违法行为所获利益或者避免的损失。</w:t>
      </w:r>
      <w:r>
        <w:rPr>
          <w:rFonts w:hint="eastAsia" w:ascii="Times New Roman" w:hAnsi="Times New Roman" w:cs="Times New Roman"/>
          <w:b/>
          <w:bCs/>
          <w:color w:val="000000"/>
          <w:szCs w:val="27"/>
          <w:lang w:val="en-US" w:eastAsia="zh-CN"/>
        </w:rPr>
        <w:t>二是</w:t>
      </w:r>
      <w:r>
        <w:rPr>
          <w:rFonts w:hint="eastAsia" w:ascii="Times New Roman" w:hAnsi="Times New Roman" w:cs="Times New Roman"/>
          <w:color w:val="000000"/>
          <w:szCs w:val="27"/>
          <w:lang w:val="en-US" w:eastAsia="zh-CN"/>
        </w:rPr>
        <w:t>将违法类型区分为交易类违法行为和非交易类违法行为。前者原则上以“交易获利（避损）”作为违法所得，同时扣除与交易直接相关的成本和税费。后者原则上以“违法行为收入”作为违法所得。</w:t>
      </w:r>
      <w:r>
        <w:rPr>
          <w:rFonts w:hint="eastAsia" w:ascii="Times New Roman" w:hAnsi="Times New Roman" w:cs="Times New Roman"/>
          <w:b/>
          <w:bCs/>
          <w:color w:val="000000"/>
          <w:szCs w:val="27"/>
          <w:lang w:val="en-US" w:eastAsia="zh-CN"/>
        </w:rPr>
        <w:t>三是</w:t>
      </w:r>
      <w:r>
        <w:rPr>
          <w:rFonts w:hint="eastAsia" w:ascii="Times New Roman" w:hAnsi="Times New Roman" w:cs="Times New Roman"/>
          <w:color w:val="000000"/>
          <w:szCs w:val="27"/>
          <w:lang w:val="en-US" w:eastAsia="zh-CN"/>
        </w:rPr>
        <w:t>明确多个独立违法行为之间违法所得独立计算，彼此不得盈亏相抵。</w:t>
      </w:r>
      <w:r>
        <w:rPr>
          <w:rFonts w:hint="eastAsia" w:ascii="Times New Roman" w:hAnsi="Times New Roman" w:cs="Times New Roman"/>
          <w:b/>
          <w:bCs/>
          <w:color w:val="000000"/>
          <w:szCs w:val="27"/>
          <w:lang w:val="en-US" w:eastAsia="zh-CN"/>
        </w:rPr>
        <w:t>四是</w:t>
      </w:r>
      <w:r>
        <w:rPr>
          <w:rFonts w:hint="eastAsia" w:ascii="Times New Roman" w:hAnsi="Times New Roman" w:cs="Times New Roman"/>
          <w:color w:val="000000"/>
          <w:szCs w:val="27"/>
          <w:lang w:val="en-US" w:eastAsia="zh-CN"/>
        </w:rPr>
        <w:t>对内幕交易、操纵市场、利用未公开信息交易、违规转让证券等常见案件的计算方法予以明确。</w:t>
      </w:r>
      <w:r>
        <w:rPr>
          <w:rFonts w:hint="eastAsia" w:ascii="Times New Roman" w:hAnsi="Times New Roman" w:cs="Times New Roman"/>
          <w:b/>
          <w:bCs/>
          <w:color w:val="000000"/>
          <w:szCs w:val="27"/>
          <w:lang w:val="en-US" w:eastAsia="zh-CN"/>
        </w:rPr>
        <w:t>五是</w:t>
      </w:r>
      <w:r>
        <w:rPr>
          <w:rFonts w:hint="eastAsia" w:ascii="Times New Roman" w:hAnsi="Times New Roman" w:cs="Times New Roman"/>
          <w:color w:val="000000"/>
          <w:szCs w:val="27"/>
          <w:lang w:val="en-US" w:eastAsia="zh-CN"/>
        </w:rPr>
        <w:t>对被调查时尚未卖出证券如何计算违法所得进行规定。</w:t>
      </w:r>
    </w:p>
    <w:p w14:paraId="2700227C">
      <w:pPr>
        <w:pStyle w:val="6"/>
        <w:keepNext w:val="0"/>
        <w:keepLines w:val="0"/>
        <w:pageBreakBefore w:val="0"/>
        <w:widowControl/>
        <w:numPr>
          <w:ilvl w:val="0"/>
          <w:numId w:val="0"/>
        </w:numPr>
        <w:shd w:val="clear" w:color="auto" w:fill="FFFFFF"/>
        <w:tabs>
          <w:tab w:val="left" w:pos="426"/>
        </w:tabs>
        <w:kinsoku/>
        <w:wordWrap/>
        <w:overflowPunct/>
        <w:topLinePunct w:val="0"/>
        <w:autoSpaceDE/>
        <w:autoSpaceDN/>
        <w:bidi w:val="0"/>
        <w:adjustRightInd w:val="0"/>
        <w:snapToGrid w:val="0"/>
        <w:spacing w:after="156" w:afterLines="50" w:line="360" w:lineRule="auto"/>
        <w:ind w:firstLine="480" w:firstLineChars="200"/>
        <w:jc w:val="both"/>
        <w:textAlignment w:val="auto"/>
        <w:outlineLvl w:val="1"/>
        <w:rPr>
          <w:rFonts w:hint="eastAsia" w:ascii="Times New Roman" w:hAnsi="Times New Roman" w:cs="Times New Roman"/>
          <w:color w:val="000000"/>
          <w:szCs w:val="27"/>
          <w:lang w:val="en-US" w:eastAsia="zh-CN"/>
        </w:rPr>
      </w:pPr>
      <w:r>
        <w:rPr>
          <w:rFonts w:hint="eastAsia" w:ascii="Times New Roman" w:hAnsi="Times New Roman" w:cs="Times New Roman"/>
          <w:color w:val="000000"/>
          <w:szCs w:val="27"/>
          <w:lang w:val="en-US" w:eastAsia="zh-CN"/>
        </w:rPr>
        <w:t>《违规转让证券案件行政处罚实施规则（征求意见稿）》主要内容包括：</w:t>
      </w:r>
      <w:r>
        <w:rPr>
          <w:rFonts w:hint="eastAsia" w:ascii="Times New Roman" w:hAnsi="Times New Roman" w:cs="Times New Roman"/>
          <w:b/>
          <w:bCs/>
          <w:color w:val="000000"/>
          <w:szCs w:val="27"/>
          <w:lang w:val="en-US" w:eastAsia="zh-CN"/>
        </w:rPr>
        <w:t>一是</w:t>
      </w:r>
      <w:r>
        <w:rPr>
          <w:rFonts w:hint="eastAsia" w:ascii="Times New Roman" w:hAnsi="Times New Roman" w:cs="Times New Roman"/>
          <w:color w:val="000000"/>
          <w:szCs w:val="27"/>
          <w:lang w:val="en-US" w:eastAsia="zh-CN"/>
        </w:rPr>
        <w:t>规范“违规转让证券”的认定。明确《证券法》第一百八十六条规定的“转让证券”“在限制转让期内转让证券”“转让股票不符合法律、行政法规和国务院证券监督管理机构规定”的内涵、具体情形，以及一致行动人的违法主体认定。</w:t>
      </w:r>
      <w:r>
        <w:rPr>
          <w:rFonts w:hint="eastAsia" w:ascii="Times New Roman" w:hAnsi="Times New Roman" w:cs="Times New Roman"/>
          <w:b/>
          <w:bCs/>
          <w:color w:val="000000"/>
          <w:szCs w:val="27"/>
          <w:lang w:val="en-US" w:eastAsia="zh-CN"/>
        </w:rPr>
        <w:t>二是</w:t>
      </w:r>
      <w:r>
        <w:rPr>
          <w:rFonts w:hint="eastAsia" w:ascii="Times New Roman" w:hAnsi="Times New Roman" w:cs="Times New Roman"/>
          <w:color w:val="000000"/>
          <w:szCs w:val="27"/>
          <w:lang w:val="en-US" w:eastAsia="zh-CN"/>
        </w:rPr>
        <w:t>规范“违规转让证券”的处罚。针对不同类别，差异化设置不同的裁量阶次指标，力求过罚相当。同时，还对量罚调整情节做列举式规定，对并罚与从一重处的情形、调整适用的情形和市场禁入等作提示性规定。</w:t>
      </w:r>
    </w:p>
    <w:p w14:paraId="41470C45">
      <w:pPr>
        <w:tabs>
          <w:tab w:val="left" w:pos="0"/>
          <w:tab w:val="left" w:pos="840"/>
        </w:tabs>
        <w:spacing w:before="156" w:beforeLines="50" w:after="156" w:afterLines="50"/>
        <w:rPr>
          <w:rFonts w:hint="eastAsia" w:ascii="Times New Roman" w:hAnsi="Times New Roman" w:eastAsia="黑体"/>
          <w:b/>
          <w:color w:val="FFFFFF"/>
          <w:sz w:val="32"/>
          <w:szCs w:val="32"/>
          <w:highlight w:val="blue"/>
          <w:shd w:val="clear" w:color="FFFFFF" w:fill="D9D9D9"/>
        </w:rPr>
      </w:pPr>
      <w:r>
        <w:rPr>
          <w:rFonts w:hint="eastAsia" w:ascii="Times New Roman" w:hAnsi="Times New Roman" w:eastAsia="黑体"/>
          <w:b/>
          <w:color w:val="FFFFFF"/>
          <w:sz w:val="32"/>
          <w:szCs w:val="32"/>
          <w:highlight w:val="blue"/>
          <w:shd w:val="clear" w:color="FFFFFF" w:fill="D9D9D9"/>
        </w:rPr>
        <w:t>案例评析</w:t>
      </w:r>
    </w:p>
    <w:p w14:paraId="18290546">
      <w:pPr>
        <w:keepNext w:val="0"/>
        <w:keepLines w:val="0"/>
        <w:pageBreakBefore w:val="0"/>
        <w:widowControl w:val="0"/>
        <w:tabs>
          <w:tab w:val="left" w:pos="426"/>
        </w:tabs>
        <w:kinsoku/>
        <w:wordWrap/>
        <w:overflowPunct/>
        <w:topLinePunct w:val="0"/>
        <w:autoSpaceDE/>
        <w:autoSpaceDN/>
        <w:bidi w:val="0"/>
        <w:adjustRightInd w:val="0"/>
        <w:snapToGrid w:val="0"/>
        <w:spacing w:after="157" w:afterLines="50" w:line="360" w:lineRule="auto"/>
        <w:ind w:firstLine="0" w:firstLineChars="0"/>
        <w:jc w:val="center"/>
        <w:textAlignment w:val="auto"/>
        <w:rPr>
          <w:rFonts w:hint="eastAsia" w:ascii="Times New Roman" w:hAnsi="Times New Roman" w:eastAsia="宋体"/>
          <w:b/>
          <w:bCs/>
          <w:kern w:val="0"/>
          <w:lang w:val="en-US" w:eastAsia="zh-CN"/>
        </w:rPr>
      </w:pPr>
      <w:r>
        <w:rPr>
          <w:rFonts w:hint="eastAsia" w:ascii="Times New Roman" w:hAnsi="Times New Roman" w:eastAsia="宋体"/>
          <w:b/>
          <w:bCs/>
          <w:kern w:val="0"/>
          <w:lang w:val="en-US" w:eastAsia="zh-CN"/>
        </w:rPr>
        <w:t>上市公司董监高未履行公开承诺民事赔偿责任的司法认定</w:t>
      </w:r>
    </w:p>
    <w:p w14:paraId="3C396808">
      <w:pPr>
        <w:keepNext w:val="0"/>
        <w:keepLines w:val="0"/>
        <w:pageBreakBefore w:val="0"/>
        <w:widowControl/>
        <w:suppressLineNumbers w:val="0"/>
        <w:kinsoku/>
        <w:wordWrap/>
        <w:overflowPunct/>
        <w:topLinePunct w:val="0"/>
        <w:autoSpaceDE/>
        <w:autoSpaceDN/>
        <w:bidi w:val="0"/>
        <w:spacing w:after="157" w:afterLines="50"/>
        <w:jc w:val="center"/>
        <w:textAlignment w:val="auto"/>
        <w:rPr>
          <w:rFonts w:ascii="Times New Roman" w:hAnsi="Times New Roman" w:eastAsia="宋体"/>
        </w:rPr>
      </w:pPr>
      <w:r>
        <w:rPr>
          <w:rFonts w:hint="eastAsia" w:ascii="Times New Roman" w:hAnsi="Times New Roman" w:eastAsia="宋体"/>
        </w:rPr>
        <w:t>——</w:t>
      </w:r>
      <w:r>
        <w:rPr>
          <w:rFonts w:hint="eastAsia" w:ascii="Times New Roman" w:hAnsi="Times New Roman" w:eastAsia="宋体"/>
          <w:lang w:val="en-US" w:eastAsia="zh-CN"/>
        </w:rPr>
        <w:t>刘某某等诉上海金某泰化工股份有限公司等</w:t>
      </w:r>
      <w:r>
        <w:rPr>
          <w:rFonts w:hint="eastAsia" w:ascii="Times New Roman" w:hAnsi="Times New Roman" w:eastAsia="宋体"/>
        </w:rPr>
        <w:t>证券虚假陈述责任纠纷案</w:t>
      </w:r>
    </w:p>
    <w:p w14:paraId="66CE1658">
      <w:pPr>
        <w:keepNext w:val="0"/>
        <w:keepLines w:val="0"/>
        <w:pageBreakBefore w:val="0"/>
        <w:widowControl w:val="0"/>
        <w:tabs>
          <w:tab w:val="left" w:pos="426"/>
        </w:tabs>
        <w:kinsoku/>
        <w:wordWrap/>
        <w:overflowPunct/>
        <w:topLinePunct w:val="0"/>
        <w:autoSpaceDE/>
        <w:autoSpaceDN/>
        <w:bidi w:val="0"/>
        <w:adjustRightInd w:val="0"/>
        <w:snapToGrid w:val="0"/>
        <w:spacing w:line="240" w:lineRule="auto"/>
        <w:ind w:firstLine="480" w:firstLineChars="200"/>
        <w:textAlignment w:val="auto"/>
        <w:rPr>
          <w:rFonts w:hint="eastAsia" w:ascii="Times New Roman" w:hAnsi="Times New Roman" w:eastAsia="宋体" w:cs="Times New Roman"/>
          <w:color w:val="000000"/>
          <w:kern w:val="0"/>
          <w:sz w:val="24"/>
          <w:szCs w:val="27"/>
          <w:lang w:val="en-US" w:eastAsia="zh-CN"/>
        </w:rPr>
      </w:pPr>
    </w:p>
    <w:p w14:paraId="011E1E14">
      <w:pPr>
        <w:tabs>
          <w:tab w:val="left" w:pos="426"/>
        </w:tabs>
        <w:adjustRightInd w:val="0"/>
        <w:snapToGrid w:val="0"/>
        <w:spacing w:after="156" w:afterLines="50" w:line="360" w:lineRule="auto"/>
        <w:ind w:firstLine="480" w:firstLineChars="200"/>
        <w:rPr>
          <w:rFonts w:hint="eastAsia" w:ascii="Times New Roman" w:hAnsi="Times New Roman" w:eastAsia="宋体" w:cs="Times New Roman"/>
          <w:color w:val="000000"/>
          <w:kern w:val="0"/>
          <w:sz w:val="24"/>
          <w:szCs w:val="27"/>
          <w:lang w:val="en-US" w:eastAsia="zh-CN"/>
        </w:rPr>
      </w:pPr>
      <w:r>
        <w:rPr>
          <w:rFonts w:hint="eastAsia" w:ascii="Times New Roman" w:hAnsi="Times New Roman" w:eastAsia="宋体" w:cs="Times New Roman"/>
          <w:color w:val="000000"/>
          <w:kern w:val="0"/>
          <w:sz w:val="24"/>
          <w:szCs w:val="27"/>
          <w:lang w:val="en-US" w:eastAsia="zh-CN"/>
        </w:rPr>
        <w:t>由于资本市场中公开承诺形式多样，不履行公开承诺的法律责任属性应区分考量。就未履行公开增持承诺是否构成证券虚假陈述行为，应结合证券市场股票增持行为的特点、公开增持承诺的行为性质，以及公开承诺主体作出增持承诺时的履约准备、延期事由、未履行承诺原因、有无免责事由等因素综合判断。若公开增持承诺主体主观上不具有履行承诺的真实意愿，增持承诺信息的披露客观上对证券市场和投资者预期产生严重误导，承诺主体所主张的未能履行的抗辩理由亦明显不合理的，则虚假陈述行为成立且具有重大性，承诺主体应当承担民事赔偿责任。同时，公开承诺主体为法定信息披露义务人，在董监高作出承诺的情况下，如上市公司尽到了信息披露的基本审查义务，亦无证据证明上市公司明知或应知公开承诺主体存在虚假陈述，不应承担虚假陈述民事赔偿责任。</w:t>
      </w:r>
    </w:p>
    <w:p w14:paraId="4CB86A09">
      <w:pPr>
        <w:keepNext w:val="0"/>
        <w:keepLines w:val="0"/>
        <w:pageBreakBefore w:val="0"/>
        <w:widowControl w:val="0"/>
        <w:numPr>
          <w:ilvl w:val="0"/>
          <w:numId w:val="4"/>
        </w:numPr>
        <w:tabs>
          <w:tab w:val="left" w:pos="426"/>
        </w:tabs>
        <w:kinsoku/>
        <w:wordWrap/>
        <w:overflowPunct/>
        <w:topLinePunct w:val="0"/>
        <w:autoSpaceDE/>
        <w:autoSpaceDN/>
        <w:bidi w:val="0"/>
        <w:adjustRightInd w:val="0"/>
        <w:snapToGrid w:val="0"/>
        <w:spacing w:before="0" w:beforeLines="0" w:after="156" w:afterLines="50" w:line="360" w:lineRule="auto"/>
        <w:ind w:left="0" w:firstLine="482"/>
        <w:jc w:val="left"/>
        <w:textAlignment w:val="auto"/>
        <w:rPr>
          <w:rFonts w:hint="eastAsia" w:ascii="Times New Roman" w:hAnsi="Times New Roman" w:eastAsia="宋体" w:cs="Times New Roman"/>
          <w:b/>
          <w:bCs/>
          <w:kern w:val="0"/>
          <w:lang w:val="en-US" w:eastAsia="zh-CN"/>
        </w:rPr>
      </w:pPr>
      <w:r>
        <w:rPr>
          <w:rFonts w:hint="eastAsia" w:ascii="Times New Roman" w:hAnsi="Times New Roman" w:eastAsia="宋体" w:cs="Times New Roman"/>
          <w:b/>
          <w:bCs/>
          <w:kern w:val="0"/>
          <w:lang w:val="en-US" w:eastAsia="zh-CN"/>
        </w:rPr>
        <w:t>基本案情</w:t>
      </w:r>
    </w:p>
    <w:p w14:paraId="62EA13EC">
      <w:pPr>
        <w:tabs>
          <w:tab w:val="left" w:pos="426"/>
        </w:tabs>
        <w:adjustRightInd w:val="0"/>
        <w:snapToGrid w:val="0"/>
        <w:spacing w:after="156" w:afterLines="50" w:line="360" w:lineRule="auto"/>
        <w:ind w:firstLine="480" w:firstLineChars="200"/>
        <w:rPr>
          <w:rFonts w:hint="eastAsia" w:ascii="Times New Roman" w:hAnsi="Times New Roman" w:eastAsia="宋体" w:cs="Times New Roman"/>
          <w:color w:val="000000"/>
          <w:kern w:val="0"/>
          <w:sz w:val="24"/>
          <w:szCs w:val="27"/>
          <w:lang w:val="en-US" w:eastAsia="zh-CN"/>
        </w:rPr>
      </w:pPr>
      <w:r>
        <w:rPr>
          <w:rFonts w:hint="eastAsia" w:ascii="Times New Roman" w:hAnsi="Times New Roman" w:eastAsia="宋体" w:cs="Times New Roman"/>
          <w:color w:val="000000"/>
          <w:kern w:val="0"/>
          <w:sz w:val="24"/>
          <w:szCs w:val="27"/>
          <w:lang w:val="en-US" w:eastAsia="zh-CN"/>
        </w:rPr>
        <w:t>上海金某泰化工股份有限公司（以下简称金某泰公司）系深圳证券交易所A股上市公司。</w:t>
      </w:r>
    </w:p>
    <w:p w14:paraId="0E3143B2">
      <w:pPr>
        <w:tabs>
          <w:tab w:val="left" w:pos="426"/>
        </w:tabs>
        <w:adjustRightInd w:val="0"/>
        <w:snapToGrid w:val="0"/>
        <w:spacing w:after="156" w:afterLines="50" w:line="360" w:lineRule="auto"/>
        <w:ind w:firstLine="480" w:firstLineChars="200"/>
        <w:rPr>
          <w:rFonts w:hint="eastAsia" w:ascii="Times New Roman" w:hAnsi="Times New Roman" w:eastAsia="宋体" w:cs="Times New Roman"/>
          <w:color w:val="000000"/>
          <w:kern w:val="0"/>
          <w:sz w:val="24"/>
          <w:szCs w:val="27"/>
          <w:lang w:val="en-US" w:eastAsia="zh-CN"/>
        </w:rPr>
      </w:pPr>
      <w:r>
        <w:rPr>
          <w:rFonts w:hint="eastAsia" w:ascii="Times New Roman" w:hAnsi="Times New Roman" w:eastAsia="宋体" w:cs="Times New Roman"/>
          <w:color w:val="000000"/>
          <w:kern w:val="0"/>
          <w:sz w:val="24"/>
          <w:szCs w:val="27"/>
          <w:lang w:val="en-US" w:eastAsia="zh-CN"/>
        </w:rPr>
        <w:t>2021年6月14日（非交易日），金某泰公司发布《关于公司总裁及控股子公司总经理增持股份计划的公告》载明，金某泰公司收到公司董事兼总裁袁某及控股子公司上海金某新材料科技有限公司董事兼总经理罗某的通知，计划自本公告披露日起6个月内增持公司股份，增持金额分别不低于1.5亿元，增持金额合计不低于3亿元。</w:t>
      </w:r>
    </w:p>
    <w:p w14:paraId="5D044102">
      <w:pPr>
        <w:tabs>
          <w:tab w:val="left" w:pos="426"/>
        </w:tabs>
        <w:adjustRightInd w:val="0"/>
        <w:snapToGrid w:val="0"/>
        <w:spacing w:after="156" w:afterLines="50" w:line="360" w:lineRule="auto"/>
        <w:ind w:firstLine="480" w:firstLineChars="200"/>
        <w:rPr>
          <w:rFonts w:hint="eastAsia" w:ascii="Times New Roman" w:hAnsi="Times New Roman" w:eastAsia="宋体" w:cs="Times New Roman"/>
          <w:color w:val="000000"/>
          <w:kern w:val="0"/>
          <w:sz w:val="24"/>
          <w:szCs w:val="27"/>
          <w:lang w:val="en-US" w:eastAsia="zh-CN"/>
        </w:rPr>
      </w:pPr>
      <w:r>
        <w:rPr>
          <w:rFonts w:hint="eastAsia" w:ascii="Times New Roman" w:hAnsi="Times New Roman" w:eastAsia="宋体" w:cs="Times New Roman"/>
          <w:color w:val="000000"/>
          <w:kern w:val="0"/>
          <w:sz w:val="24"/>
          <w:szCs w:val="27"/>
          <w:lang w:val="en-US" w:eastAsia="zh-CN"/>
        </w:rPr>
        <w:t>2021年11月26日盘后，金某泰公司发布增持股份计划延期公告，袁某、罗某申请将此次增持计划的履行截止日延至2022年6月15日。延期的主要理由为信息披露敏感期内无法增持公司股票，致使增持计划可实施的有效时间大幅缩短；因拟增持金额较大，资金筹措尚未完成等。</w:t>
      </w:r>
    </w:p>
    <w:p w14:paraId="1B804BD4">
      <w:pPr>
        <w:tabs>
          <w:tab w:val="left" w:pos="426"/>
        </w:tabs>
        <w:adjustRightInd w:val="0"/>
        <w:snapToGrid w:val="0"/>
        <w:spacing w:after="156" w:afterLines="50" w:line="360" w:lineRule="auto"/>
        <w:ind w:firstLine="480" w:firstLineChars="200"/>
        <w:rPr>
          <w:rFonts w:hint="eastAsia" w:ascii="Times New Roman" w:hAnsi="Times New Roman" w:eastAsia="宋体" w:cs="Times New Roman"/>
          <w:color w:val="000000"/>
          <w:kern w:val="0"/>
          <w:sz w:val="24"/>
          <w:szCs w:val="27"/>
          <w:lang w:val="en-US" w:eastAsia="zh-CN"/>
        </w:rPr>
      </w:pPr>
      <w:r>
        <w:rPr>
          <w:rFonts w:hint="eastAsia" w:ascii="Times New Roman" w:hAnsi="Times New Roman" w:eastAsia="宋体" w:cs="Times New Roman"/>
          <w:color w:val="000000"/>
          <w:kern w:val="0"/>
          <w:sz w:val="24"/>
          <w:szCs w:val="27"/>
          <w:lang w:val="en-US" w:eastAsia="zh-CN"/>
        </w:rPr>
        <w:t>2021年12月8日，金某泰公司发布《关于对深圳证券交易所关注函回复的公告》载明，交易所要求金某泰公司补充披露袁某、罗某作出增持计划时的具体资金安排及计划等；金某泰公司回复，根据增持主体提供的银行存款证明，截至2021年12月7日，袁某拥有银行存款70,000,500元，罗某拥有银行存款80,000,100元，上述增持主体拟通过银行、信托等融资机构将增持资金筹措到位。庭审中，袁某、罗某陈述，该款项由案外人宋某某提供，完成存款证明后，当日转回给宋某某。</w:t>
      </w:r>
    </w:p>
    <w:p w14:paraId="5EFDF0B9">
      <w:pPr>
        <w:tabs>
          <w:tab w:val="left" w:pos="426"/>
        </w:tabs>
        <w:adjustRightInd w:val="0"/>
        <w:snapToGrid w:val="0"/>
        <w:spacing w:after="156" w:afterLines="50" w:line="360" w:lineRule="auto"/>
        <w:ind w:firstLine="480" w:firstLineChars="200"/>
        <w:rPr>
          <w:rFonts w:hint="eastAsia" w:ascii="Times New Roman" w:hAnsi="Times New Roman" w:eastAsia="宋体" w:cs="Times New Roman"/>
          <w:color w:val="000000"/>
          <w:kern w:val="0"/>
          <w:sz w:val="24"/>
          <w:szCs w:val="27"/>
          <w:lang w:val="en-US" w:eastAsia="zh-CN"/>
        </w:rPr>
      </w:pPr>
      <w:r>
        <w:rPr>
          <w:rFonts w:hint="eastAsia" w:ascii="Times New Roman" w:hAnsi="Times New Roman" w:eastAsia="宋体" w:cs="Times New Roman"/>
          <w:color w:val="000000"/>
          <w:kern w:val="0"/>
          <w:sz w:val="24"/>
          <w:szCs w:val="27"/>
          <w:lang w:val="en-US" w:eastAsia="zh-CN"/>
        </w:rPr>
        <w:t>2022年5月27日盘后，金某泰公司发布增持股份计划延期公告载明，袁某、罗某与相关融资机构进入实质商谈阶段，但因疫情影响，袁某、罗某与相关融资机构的沟通合作未能获得进一步实质性进展。袁某、罗某申请将此次增持计划的履行截止日延至2022年9月30日，并承诺为保障承诺履行拟采取的措施等事项是不可撤销、不可变更的。</w:t>
      </w:r>
    </w:p>
    <w:p w14:paraId="07333CFE">
      <w:pPr>
        <w:tabs>
          <w:tab w:val="left" w:pos="426"/>
        </w:tabs>
        <w:adjustRightInd w:val="0"/>
        <w:snapToGrid w:val="0"/>
        <w:spacing w:after="156" w:afterLines="50" w:line="360" w:lineRule="auto"/>
        <w:ind w:firstLine="480" w:firstLineChars="200"/>
        <w:rPr>
          <w:rFonts w:hint="eastAsia" w:ascii="Times New Roman" w:hAnsi="Times New Roman" w:eastAsia="宋体" w:cs="Times New Roman"/>
          <w:color w:val="000000"/>
          <w:kern w:val="0"/>
          <w:sz w:val="24"/>
          <w:szCs w:val="27"/>
          <w:lang w:val="en-US" w:eastAsia="zh-CN"/>
        </w:rPr>
      </w:pPr>
      <w:r>
        <w:rPr>
          <w:rFonts w:hint="eastAsia" w:ascii="Times New Roman" w:hAnsi="Times New Roman" w:eastAsia="宋体" w:cs="Times New Roman"/>
          <w:color w:val="000000"/>
          <w:kern w:val="0"/>
          <w:sz w:val="24"/>
          <w:szCs w:val="27"/>
          <w:lang w:val="en-US" w:eastAsia="zh-CN"/>
        </w:rPr>
        <w:t>2022年9月30日盘后，金某泰公司发布《关于公司总裁及时任控股子公司总经理增持股份计划期限届满暨实施结果的公告》载明，袁某、罗某未能在增持计划二次延期期间完成增持计划。</w:t>
      </w:r>
    </w:p>
    <w:p w14:paraId="2ADC1DB1">
      <w:pPr>
        <w:tabs>
          <w:tab w:val="left" w:pos="426"/>
        </w:tabs>
        <w:adjustRightInd w:val="0"/>
        <w:snapToGrid w:val="0"/>
        <w:spacing w:after="156" w:afterLines="50" w:line="360" w:lineRule="auto"/>
        <w:ind w:firstLine="480" w:firstLineChars="200"/>
        <w:rPr>
          <w:rFonts w:hint="eastAsia" w:ascii="Times New Roman" w:hAnsi="Times New Roman" w:eastAsia="宋体" w:cs="Times New Roman"/>
          <w:color w:val="000000"/>
          <w:kern w:val="0"/>
          <w:sz w:val="24"/>
          <w:szCs w:val="27"/>
          <w:lang w:val="en-US" w:eastAsia="zh-CN"/>
        </w:rPr>
      </w:pPr>
      <w:r>
        <w:rPr>
          <w:rFonts w:hint="eastAsia" w:ascii="Times New Roman" w:hAnsi="Times New Roman" w:eastAsia="宋体" w:cs="Times New Roman"/>
          <w:color w:val="000000"/>
          <w:kern w:val="0"/>
          <w:sz w:val="24"/>
          <w:szCs w:val="27"/>
          <w:lang w:val="en-US" w:eastAsia="zh-CN"/>
        </w:rPr>
        <w:t>2022年10月20日，中国证券监督管理委员会上海监管局分别作出《关于对袁某采取出具警示函措施的决定》《关于对罗某采取出具警示函措施的决定》，认定如下：增持承诺期满，被告袁某、罗某未增持公司股份，与此前增持计划不符，故对袁某、罗某采取出具警示函的行政监管措施。</w:t>
      </w:r>
    </w:p>
    <w:p w14:paraId="2B8F817E">
      <w:pPr>
        <w:tabs>
          <w:tab w:val="left" w:pos="426"/>
        </w:tabs>
        <w:adjustRightInd w:val="0"/>
        <w:snapToGrid w:val="0"/>
        <w:spacing w:after="156" w:afterLines="50" w:line="360" w:lineRule="auto"/>
        <w:ind w:firstLine="480" w:firstLineChars="200"/>
        <w:rPr>
          <w:rFonts w:hint="eastAsia" w:ascii="Times New Roman" w:hAnsi="Times New Roman" w:eastAsia="宋体" w:cs="Times New Roman"/>
          <w:color w:val="000000"/>
          <w:kern w:val="0"/>
          <w:sz w:val="24"/>
          <w:szCs w:val="27"/>
          <w:lang w:val="en-US" w:eastAsia="zh-CN"/>
        </w:rPr>
      </w:pPr>
      <w:r>
        <w:rPr>
          <w:rFonts w:hint="eastAsia" w:ascii="Times New Roman" w:hAnsi="Times New Roman" w:eastAsia="宋体" w:cs="Times New Roman"/>
          <w:color w:val="000000"/>
          <w:kern w:val="0"/>
          <w:sz w:val="24"/>
          <w:szCs w:val="27"/>
          <w:lang w:val="en-US" w:eastAsia="zh-CN"/>
        </w:rPr>
        <w:t>2022年12月21日，深圳证券交易所作出《关于对袁某、罗某给予公开谴责处分的决定》，认定如下：袁某、罗某在第二次延期增持计划届满后仍未进行增持，市场影响恶劣。故对袁某、罗某给予公开谴责的处分。</w:t>
      </w:r>
    </w:p>
    <w:p w14:paraId="4CF504B5">
      <w:pPr>
        <w:tabs>
          <w:tab w:val="left" w:pos="426"/>
        </w:tabs>
        <w:adjustRightInd w:val="0"/>
        <w:snapToGrid w:val="0"/>
        <w:spacing w:after="156" w:afterLines="50" w:line="360" w:lineRule="auto"/>
        <w:ind w:firstLine="480" w:firstLineChars="200"/>
        <w:rPr>
          <w:rFonts w:hint="eastAsia" w:ascii="Times New Roman" w:hAnsi="Times New Roman" w:eastAsia="宋体"/>
          <w:b w:val="0"/>
          <w:bCs w:val="0"/>
          <w:kern w:val="0"/>
          <w:lang w:val="en-US" w:eastAsia="zh-CN"/>
        </w:rPr>
      </w:pPr>
      <w:r>
        <w:rPr>
          <w:rFonts w:hint="eastAsia" w:ascii="Times New Roman" w:hAnsi="Times New Roman" w:eastAsia="宋体" w:cs="Times New Roman"/>
          <w:color w:val="000000"/>
          <w:kern w:val="0"/>
          <w:sz w:val="24"/>
          <w:szCs w:val="27"/>
          <w:lang w:val="en-US" w:eastAsia="zh-CN"/>
        </w:rPr>
        <w:t>刘某某、郑某某起诉认为，金某泰公司公告称其高管袁某、罗某承诺增持共计3亿元的股票，刘某某、郑某某基于对该披露信息的信赖，对该公司股票进行了投资。金某泰公司及其责任人员未履行增持股份承诺的行为构成证券虚假陈述行为，应对投资者的损失承担赔偿责任。故刘某某起诉请求法院判令：三被告共同赔偿其投资损失506,130.96元及相应利息损失。郑某某起诉请求法院判令：三被告共同赔偿其投资损失277,406.42元及相应的资金占用损失</w:t>
      </w:r>
      <w:r>
        <w:rPr>
          <w:rFonts w:hint="eastAsia" w:ascii="Times New Roman" w:hAnsi="Times New Roman" w:eastAsia="宋体"/>
          <w:b w:val="0"/>
          <w:bCs w:val="0"/>
          <w:kern w:val="0"/>
          <w:lang w:val="en-US" w:eastAsia="zh-CN"/>
        </w:rPr>
        <w:t>。</w:t>
      </w:r>
    </w:p>
    <w:p w14:paraId="43EA66C3">
      <w:pPr>
        <w:numPr>
          <w:ilvl w:val="0"/>
          <w:numId w:val="4"/>
        </w:numPr>
        <w:tabs>
          <w:tab w:val="left" w:pos="426"/>
        </w:tabs>
        <w:adjustRightInd w:val="0"/>
        <w:snapToGrid w:val="0"/>
        <w:spacing w:after="156" w:afterLines="50" w:line="360" w:lineRule="auto"/>
        <w:ind w:left="0" w:firstLine="482"/>
        <w:rPr>
          <w:rFonts w:hint="eastAsia" w:ascii="Times New Roman" w:hAnsi="Times New Roman" w:eastAsia="宋体"/>
          <w:b/>
          <w:bCs/>
          <w:kern w:val="0"/>
        </w:rPr>
      </w:pPr>
      <w:r>
        <w:rPr>
          <w:rFonts w:hint="eastAsia" w:ascii="Times New Roman" w:hAnsi="Times New Roman" w:eastAsia="宋体"/>
          <w:b/>
          <w:bCs/>
          <w:kern w:val="0"/>
        </w:rPr>
        <w:t>法院裁判</w:t>
      </w:r>
    </w:p>
    <w:p w14:paraId="2618A692">
      <w:pPr>
        <w:tabs>
          <w:tab w:val="left" w:pos="426"/>
        </w:tabs>
        <w:adjustRightInd w:val="0"/>
        <w:snapToGrid w:val="0"/>
        <w:spacing w:after="156" w:afterLines="50" w:line="360" w:lineRule="auto"/>
        <w:ind w:firstLine="480" w:firstLineChars="200"/>
        <w:rPr>
          <w:rFonts w:hint="eastAsia" w:ascii="Times New Roman" w:hAnsi="Times New Roman" w:eastAsia="宋体" w:cs="Times New Roman"/>
          <w:color w:val="000000"/>
          <w:kern w:val="0"/>
          <w:sz w:val="24"/>
          <w:szCs w:val="27"/>
        </w:rPr>
      </w:pPr>
      <w:r>
        <w:rPr>
          <w:rFonts w:hint="eastAsia" w:ascii="Times New Roman" w:hAnsi="Times New Roman" w:eastAsia="宋体" w:cs="Times New Roman"/>
          <w:color w:val="000000"/>
          <w:kern w:val="0"/>
          <w:sz w:val="24"/>
          <w:szCs w:val="27"/>
        </w:rPr>
        <w:t>本案的争议焦点在于，案涉公开增持承诺是否构成证券虚假陈述侵权行为，如果构成，三被告的责任应当如何认定。</w:t>
      </w:r>
    </w:p>
    <w:p w14:paraId="2959F267">
      <w:pPr>
        <w:tabs>
          <w:tab w:val="left" w:pos="426"/>
        </w:tabs>
        <w:adjustRightInd w:val="0"/>
        <w:snapToGrid w:val="0"/>
        <w:spacing w:after="156" w:afterLines="50" w:line="360" w:lineRule="auto"/>
        <w:ind w:firstLine="480" w:firstLineChars="200"/>
        <w:rPr>
          <w:rFonts w:hint="eastAsia" w:ascii="Times New Roman" w:hAnsi="Times New Roman" w:eastAsia="宋体" w:cs="Times New Roman"/>
          <w:color w:val="000000"/>
          <w:kern w:val="0"/>
          <w:sz w:val="24"/>
          <w:szCs w:val="27"/>
        </w:rPr>
      </w:pPr>
      <w:r>
        <w:rPr>
          <w:rFonts w:hint="eastAsia" w:ascii="Times New Roman" w:hAnsi="Times New Roman" w:eastAsia="宋体" w:cs="Times New Roman"/>
          <w:color w:val="000000"/>
          <w:kern w:val="0"/>
          <w:sz w:val="24"/>
          <w:szCs w:val="27"/>
        </w:rPr>
        <w:t>解决上述争议的前提需先行厘清2019年《证券法》第八十四条第二款与第八十五条之间的关系。《证券法》第八十四条第二款首次在法律层面规定了不履行公开承诺义务的民事赔偿责任</w:t>
      </w:r>
      <w:r>
        <w:rPr>
          <w:rFonts w:hint="eastAsia" w:ascii="Times New Roman" w:hAnsi="Times New Roman" w:eastAsia="宋体" w:cs="Times New Roman"/>
          <w:color w:val="000000"/>
          <w:kern w:val="0"/>
          <w:sz w:val="24"/>
          <w:szCs w:val="27"/>
          <w:lang w:eastAsia="zh-CN"/>
        </w:rPr>
        <w:t>，</w:t>
      </w:r>
      <w:r>
        <w:rPr>
          <w:rFonts w:hint="eastAsia" w:ascii="Times New Roman" w:hAnsi="Times New Roman" w:eastAsia="宋体" w:cs="Times New Roman"/>
          <w:color w:val="000000"/>
          <w:kern w:val="0"/>
          <w:sz w:val="24"/>
          <w:szCs w:val="27"/>
        </w:rPr>
        <w:t>第八十五条明确了证券虚假陈述民事赔偿责任的义务主体及责任构成</w:t>
      </w:r>
      <w:r>
        <w:rPr>
          <w:rFonts w:hint="eastAsia" w:ascii="Times New Roman" w:hAnsi="Times New Roman" w:eastAsia="宋体" w:cs="Times New Roman"/>
          <w:color w:val="000000"/>
          <w:kern w:val="0"/>
          <w:sz w:val="24"/>
          <w:szCs w:val="27"/>
          <w:lang w:eastAsia="zh-CN"/>
        </w:rPr>
        <w:t>。</w:t>
      </w:r>
      <w:r>
        <w:rPr>
          <w:rFonts w:hint="eastAsia" w:ascii="Times New Roman" w:hAnsi="Times New Roman" w:eastAsia="宋体" w:cs="Times New Roman"/>
          <w:color w:val="000000"/>
          <w:kern w:val="0"/>
          <w:sz w:val="24"/>
          <w:szCs w:val="27"/>
        </w:rPr>
        <w:t>上述两条规定表明：第一，上市公司及其相关主体的公开承诺行为纳入证券法信息披露规制范畴；第二，公开承诺主体是法定信息披露义务人；第三，违反公开承诺的行为符合证券侵权法定情形的，需对投资者承担证券侵权损害赔偿责任。从证券市场实践看，公开承诺的类型和适用场景较为多样，故不履行公开承诺的法律责任属性无法一以概之，可能构成虚假陈述、操纵市场等典型证券侵权行为，也可能无法归入证券特殊侵权范畴，抑或是构成违约行为。</w:t>
      </w:r>
    </w:p>
    <w:p w14:paraId="0B8CB64C">
      <w:pPr>
        <w:tabs>
          <w:tab w:val="left" w:pos="426"/>
        </w:tabs>
        <w:adjustRightInd w:val="0"/>
        <w:snapToGrid w:val="0"/>
        <w:spacing w:after="156" w:afterLines="50" w:line="360" w:lineRule="auto"/>
        <w:ind w:firstLine="480" w:firstLineChars="200"/>
        <w:rPr>
          <w:rFonts w:hint="eastAsia" w:ascii="Times New Roman" w:hAnsi="Times New Roman" w:eastAsia="宋体" w:cs="Times New Roman"/>
          <w:color w:val="000000"/>
          <w:kern w:val="0"/>
          <w:sz w:val="24"/>
          <w:szCs w:val="27"/>
        </w:rPr>
      </w:pPr>
      <w:r>
        <w:rPr>
          <w:rFonts w:hint="eastAsia" w:ascii="Times New Roman" w:hAnsi="Times New Roman" w:eastAsia="宋体" w:cs="Times New Roman"/>
          <w:color w:val="000000"/>
          <w:kern w:val="0"/>
          <w:sz w:val="24"/>
          <w:szCs w:val="27"/>
        </w:rPr>
        <w:t>具体到本案诉争的公开增持承诺行为，鉴于两原告明确主张被告方构成证券虚假陈述行为，故应结合证券交易市场股票增持的行为特点、公开增持承诺的行为性质，以及被告方作出增持承诺时的履约准备、两次延期事由、未履行承诺原因、有无免责事由等因素，从证券虚假陈述责任构成的角度予以综合分析认定。首先，袁某、罗某在未做资金准备、亦无实质性资金筹措安排的情况下，贸然公开发布了增持承诺。袁某、罗某后续的系列行为亦可印证，该增持承诺自始不具有可执行性。主要体现在，两次延期及实施结果公告载明的主要理由均为资金筹措未到位，而资金问题属于增持承诺具有可执行性的核心要素，本应在首次发布增持承诺前制定完备而切实可行的计划，并合理谨慎地采取措施确保承诺能够履行，但自始至终，袁某、罗某不仅未积极筹措资金，亦未能向投资者揭示增持计划可能无法完成的风险，反而称“承诺不可撤销”“与相关融资机构进入实质商谈阶段”，并在面对交易所质询时，以过桥资金制作“虚假”存款证明。因此，袁某、罗某公开承诺其增持金某泰公司股票的行为构成虚假陈述。其次，从增持主体、承诺增持金额、市场影响力等角度看，袁某、罗某公开增持承诺信息的披露，对证券市场和投资者预期产生严重误导，虚假陈述行为具有重大性。第三，从责任主体看，案涉虚假陈述行为的特殊之处在于，公开承诺人袁某、罗某为信息披露义务人，而非金某泰公司。根据《证券法》第八十四条第二款的规定，作出公开承诺的主体是法定信息披露义务人，由于上市公司以外的信息披露义务人无法自行进行信息披露，必须借由上市公司对外发布信息。故在案涉虚假陈述行为中，公开增持承诺的信息通过金某泰公司披露。客观上，在公开承诺人提供信息无明显瑕疵的情况下，上市公司也不能拒绝发布公告披露该等信息，而且应当保证其发布的信息和信息披露义务人提供的信息一致。故不应对案涉信息披露行为视同金某泰公司自身的信息披露行为。从信息披露的全过程看，金某泰</w:t>
      </w:r>
      <w:r>
        <w:rPr>
          <w:rFonts w:hint="eastAsia" w:ascii="Times New Roman" w:hAnsi="Times New Roman" w:eastAsia="宋体" w:cs="Times New Roman"/>
          <w:color w:val="000000"/>
          <w:kern w:val="0"/>
          <w:sz w:val="24"/>
          <w:szCs w:val="27"/>
          <w:lang w:val="en-US" w:eastAsia="zh-CN"/>
        </w:rPr>
        <w:t>公司</w:t>
      </w:r>
      <w:r>
        <w:rPr>
          <w:rFonts w:hint="eastAsia" w:ascii="Times New Roman" w:hAnsi="Times New Roman" w:eastAsia="宋体" w:cs="Times New Roman"/>
          <w:color w:val="000000"/>
          <w:kern w:val="0"/>
          <w:sz w:val="24"/>
          <w:szCs w:val="27"/>
        </w:rPr>
        <w:t>基于袁某、罗某出具的告知函，查阅了董事会决议、监事会决议及独立董事意见，尽到了基本的审查义务，亦无证据证明金某泰</w:t>
      </w:r>
      <w:r>
        <w:rPr>
          <w:rFonts w:hint="eastAsia" w:ascii="Times New Roman" w:hAnsi="Times New Roman" w:eastAsia="宋体" w:cs="Times New Roman"/>
          <w:color w:val="000000"/>
          <w:kern w:val="0"/>
          <w:sz w:val="24"/>
          <w:szCs w:val="27"/>
          <w:lang w:val="en-US" w:eastAsia="zh-CN"/>
        </w:rPr>
        <w:t>公司</w:t>
      </w:r>
      <w:r>
        <w:rPr>
          <w:rFonts w:hint="eastAsia" w:ascii="Times New Roman" w:hAnsi="Times New Roman" w:eastAsia="宋体" w:cs="Times New Roman"/>
          <w:color w:val="000000"/>
          <w:kern w:val="0"/>
          <w:sz w:val="24"/>
          <w:szCs w:val="27"/>
        </w:rPr>
        <w:t>明知或应知袁某、罗某存在虚假陈述，故不应承担案涉虚假陈述行为的民事赔偿责任。</w:t>
      </w:r>
    </w:p>
    <w:p w14:paraId="6688918C">
      <w:pPr>
        <w:tabs>
          <w:tab w:val="left" w:pos="426"/>
        </w:tabs>
        <w:adjustRightInd w:val="0"/>
        <w:snapToGrid w:val="0"/>
        <w:spacing w:after="156" w:afterLines="50" w:line="360" w:lineRule="auto"/>
        <w:ind w:firstLine="480" w:firstLineChars="200"/>
        <w:rPr>
          <w:rFonts w:hint="eastAsia" w:ascii="Times New Roman" w:hAnsi="Times New Roman" w:eastAsia="宋体" w:cs="Times New Roman"/>
          <w:color w:val="000000"/>
          <w:kern w:val="0"/>
          <w:sz w:val="24"/>
          <w:szCs w:val="27"/>
        </w:rPr>
      </w:pPr>
      <w:r>
        <w:rPr>
          <w:rFonts w:hint="eastAsia" w:ascii="Times New Roman" w:hAnsi="Times New Roman" w:eastAsia="宋体" w:cs="Times New Roman"/>
          <w:color w:val="000000"/>
          <w:kern w:val="0"/>
          <w:sz w:val="24"/>
          <w:szCs w:val="27"/>
        </w:rPr>
        <w:t>综上，袁某、罗某未经必要准备，贸然向证券市场作出不具有可执行性的增持股份公开承诺，且不仅未作出风险提示，反而屡次传递虚假性、误导性信息，严重误导市场和投资者，构成证券虚假陈述共同侵权，应当对投资者的损失共同承担民事赔偿责任。法院采纳第三方损失核定机构的核算意见，认定两原告最终应获得的赔偿金额为《损失核算报告》中核定的扣除证券市场风险等因素后的投资差额损失与相应佣金、印花税损失之和。</w:t>
      </w:r>
    </w:p>
    <w:p w14:paraId="20B301A0">
      <w:pPr>
        <w:tabs>
          <w:tab w:val="left" w:pos="426"/>
        </w:tabs>
        <w:adjustRightInd w:val="0"/>
        <w:snapToGrid w:val="0"/>
        <w:spacing w:after="156" w:afterLines="50" w:line="360" w:lineRule="auto"/>
        <w:ind w:firstLine="480" w:firstLineChars="200"/>
        <w:rPr>
          <w:rFonts w:hint="eastAsia" w:ascii="Times New Roman" w:hAnsi="Times New Roman" w:eastAsia="宋体" w:cs="Times New Roman"/>
          <w:color w:val="000000"/>
          <w:kern w:val="0"/>
          <w:sz w:val="24"/>
          <w:szCs w:val="27"/>
        </w:rPr>
      </w:pPr>
      <w:r>
        <w:rPr>
          <w:rFonts w:hint="eastAsia" w:ascii="Times New Roman" w:hAnsi="Times New Roman" w:eastAsia="宋体" w:cs="Times New Roman"/>
          <w:color w:val="000000"/>
          <w:kern w:val="0"/>
          <w:sz w:val="24"/>
          <w:szCs w:val="27"/>
        </w:rPr>
        <w:t>上海金融法院于2025年4月25日作出（2023）沪74民初800号民事判决：1.袁某、罗某共同向刘某某赔偿投资差额损失505</w:t>
      </w:r>
      <w:r>
        <w:rPr>
          <w:rFonts w:hint="eastAsia" w:ascii="Times New Roman" w:hAnsi="Times New Roman" w:eastAsia="宋体" w:cs="Times New Roman"/>
          <w:color w:val="000000"/>
          <w:kern w:val="0"/>
          <w:sz w:val="24"/>
          <w:szCs w:val="27"/>
          <w:lang w:val="en-US" w:eastAsia="zh-CN"/>
        </w:rPr>
        <w:t>,</w:t>
      </w:r>
      <w:r>
        <w:rPr>
          <w:rFonts w:hint="eastAsia" w:ascii="Times New Roman" w:hAnsi="Times New Roman" w:eastAsia="宋体" w:cs="Times New Roman"/>
          <w:color w:val="000000"/>
          <w:kern w:val="0"/>
          <w:sz w:val="24"/>
          <w:szCs w:val="27"/>
        </w:rPr>
        <w:t>473.85元、佣金损失151.64元，印花税损失505.47元，共计506</w:t>
      </w:r>
      <w:r>
        <w:rPr>
          <w:rFonts w:hint="eastAsia" w:ascii="Times New Roman" w:hAnsi="Times New Roman" w:eastAsia="宋体" w:cs="Times New Roman"/>
          <w:color w:val="000000"/>
          <w:kern w:val="0"/>
          <w:sz w:val="24"/>
          <w:szCs w:val="27"/>
          <w:lang w:val="en-US" w:eastAsia="zh-CN"/>
        </w:rPr>
        <w:t>,</w:t>
      </w:r>
      <w:r>
        <w:rPr>
          <w:rFonts w:hint="eastAsia" w:ascii="Times New Roman" w:hAnsi="Times New Roman" w:eastAsia="宋体" w:cs="Times New Roman"/>
          <w:color w:val="000000"/>
          <w:kern w:val="0"/>
          <w:sz w:val="24"/>
          <w:szCs w:val="27"/>
        </w:rPr>
        <w:t>130.96元；2.袁某、罗某共同向郑某某赔偿投资差额损失277</w:t>
      </w:r>
      <w:r>
        <w:rPr>
          <w:rFonts w:hint="eastAsia" w:ascii="Times New Roman" w:hAnsi="Times New Roman" w:eastAsia="宋体" w:cs="Times New Roman"/>
          <w:color w:val="000000"/>
          <w:kern w:val="0"/>
          <w:sz w:val="24"/>
          <w:szCs w:val="27"/>
          <w:lang w:val="en-US" w:eastAsia="zh-CN"/>
        </w:rPr>
        <w:t>,</w:t>
      </w:r>
      <w:r>
        <w:rPr>
          <w:rFonts w:hint="eastAsia" w:ascii="Times New Roman" w:hAnsi="Times New Roman" w:eastAsia="宋体" w:cs="Times New Roman"/>
          <w:color w:val="000000"/>
          <w:kern w:val="0"/>
          <w:sz w:val="24"/>
          <w:szCs w:val="27"/>
        </w:rPr>
        <w:t>046.26元、佣金损失83.11元，印花税损失277.05元，共计277</w:t>
      </w:r>
      <w:r>
        <w:rPr>
          <w:rFonts w:hint="eastAsia" w:ascii="Times New Roman" w:hAnsi="Times New Roman" w:eastAsia="宋体" w:cs="Times New Roman"/>
          <w:color w:val="000000"/>
          <w:kern w:val="0"/>
          <w:sz w:val="24"/>
          <w:szCs w:val="27"/>
          <w:lang w:val="en-US" w:eastAsia="zh-CN"/>
        </w:rPr>
        <w:t>,</w:t>
      </w:r>
      <w:r>
        <w:rPr>
          <w:rFonts w:hint="eastAsia" w:ascii="Times New Roman" w:hAnsi="Times New Roman" w:eastAsia="宋体" w:cs="Times New Roman"/>
          <w:color w:val="000000"/>
          <w:kern w:val="0"/>
          <w:sz w:val="24"/>
          <w:szCs w:val="27"/>
        </w:rPr>
        <w:t>406.42元；3.驳回刘某某、郑某某的其余诉讼请求。宣判后，各方当事人均未上诉，判决已发生法律效力。</w:t>
      </w:r>
    </w:p>
    <w:p w14:paraId="2B44A7D0">
      <w:pPr>
        <w:numPr>
          <w:ilvl w:val="0"/>
          <w:numId w:val="4"/>
        </w:numPr>
        <w:tabs>
          <w:tab w:val="left" w:pos="426"/>
        </w:tabs>
        <w:adjustRightInd w:val="0"/>
        <w:snapToGrid w:val="0"/>
        <w:spacing w:after="156" w:afterLines="50" w:line="360" w:lineRule="auto"/>
        <w:ind w:left="0" w:firstLine="482" w:firstLineChars="200"/>
        <w:rPr>
          <w:rFonts w:hint="eastAsia" w:ascii="Times New Roman" w:hAnsi="Times New Roman" w:eastAsia="宋体" w:cs="Times New Roman"/>
          <w:b/>
          <w:bCs/>
          <w:color w:val="000000"/>
          <w:kern w:val="0"/>
          <w:sz w:val="24"/>
          <w:szCs w:val="27"/>
        </w:rPr>
      </w:pPr>
      <w:r>
        <w:rPr>
          <w:rFonts w:hint="eastAsia" w:ascii="Times New Roman" w:hAnsi="Times New Roman" w:eastAsia="宋体" w:cs="Times New Roman"/>
          <w:b/>
          <w:bCs/>
          <w:color w:val="000000"/>
          <w:kern w:val="0"/>
          <w:sz w:val="24"/>
          <w:szCs w:val="27"/>
          <w:lang w:val="en-US" w:eastAsia="zh-CN"/>
        </w:rPr>
        <w:t>裁判意义</w:t>
      </w:r>
    </w:p>
    <w:p w14:paraId="2455BD58">
      <w:pPr>
        <w:numPr>
          <w:ilvl w:val="0"/>
          <w:numId w:val="0"/>
        </w:numPr>
        <w:tabs>
          <w:tab w:val="left" w:pos="426"/>
        </w:tabs>
        <w:adjustRightInd w:val="0"/>
        <w:snapToGrid w:val="0"/>
        <w:spacing w:before="157" w:beforeLines="50" w:after="0" w:afterLines="0" w:line="360" w:lineRule="auto"/>
        <w:ind w:firstLine="480" w:firstLineChars="200"/>
        <w:rPr>
          <w:rFonts w:hint="eastAsia" w:ascii="Times New Roman" w:hAnsi="Times New Roman" w:eastAsia="宋体" w:cs="Times New Roman"/>
          <w:i w:val="0"/>
          <w:iCs w:val="0"/>
          <w:caps w:val="0"/>
          <w:color w:val="000000"/>
          <w:spacing w:val="0"/>
          <w:kern w:val="0"/>
          <w:sz w:val="24"/>
          <w:szCs w:val="27"/>
          <w:u w:val="none"/>
        </w:rPr>
      </w:pPr>
      <w:r>
        <w:rPr>
          <w:rFonts w:hint="eastAsia" w:ascii="Times New Roman" w:hAnsi="Times New Roman" w:eastAsia="宋体" w:cs="Times New Roman"/>
          <w:i w:val="0"/>
          <w:iCs w:val="0"/>
          <w:caps w:val="0"/>
          <w:color w:val="000000"/>
          <w:spacing w:val="0"/>
          <w:kern w:val="0"/>
          <w:sz w:val="24"/>
          <w:szCs w:val="27"/>
          <w:u w:val="none"/>
        </w:rPr>
        <w:t>公开承诺制度是我国资本市场中具有中国特色的制度之一。2019年修订的《中华人民共和国证券法》新增了违反公开承诺的民事赔偿责任，但对其法律性质、归责原则、责任范围等均未作出明确规定。该案即为全国首例上市公司董监高未履行公开增持承诺引发的证券侵权纠纷案件。通过该案审理，厘清了证券法上公开承诺制度与信息披露制度之间的关系，确立了判断不履行公开承诺法律属性的标准，明晰了构成证券虚假陈述责任的不履行公开承诺的认定要件和因素，激活了《证券法》规定的公开承诺民事赔偿责任条款，为准确适用有中国特色的资本市场公开承诺制度填补了司法实践的空白。</w:t>
      </w:r>
    </w:p>
    <w:p w14:paraId="50D171C7">
      <w:pPr>
        <w:keepNext w:val="0"/>
        <w:keepLines w:val="0"/>
        <w:pageBreakBefore w:val="0"/>
        <w:widowControl w:val="0"/>
        <w:numPr>
          <w:ilvl w:val="0"/>
          <w:numId w:val="0"/>
        </w:numPr>
        <w:kinsoku/>
        <w:wordWrap/>
        <w:overflowPunct/>
        <w:topLinePunct w:val="0"/>
        <w:autoSpaceDE/>
        <w:autoSpaceDN/>
        <w:bidi w:val="0"/>
        <w:adjustRightInd/>
        <w:snapToGrid/>
        <w:spacing w:before="157" w:beforeLines="50" w:line="360" w:lineRule="auto"/>
        <w:ind w:firstLine="420" w:firstLineChars="200"/>
        <w:textAlignment w:val="auto"/>
        <w:rPr>
          <w:rFonts w:hint="default" w:ascii="Times New Roman" w:hAnsi="Times New Roman" w:eastAsia="宋体"/>
          <w:color w:val="auto"/>
          <w:kern w:val="0"/>
          <w:sz w:val="21"/>
          <w:szCs w:val="21"/>
          <w:lang w:val="en-US" w:eastAsia="zh-CN"/>
        </w:rPr>
      </w:pPr>
      <w:r>
        <w:rPr>
          <w:rFonts w:ascii="Times New Roman" w:hAnsi="Times New Roman" w:eastAsia="宋体" w:cs="宋体"/>
          <w:i/>
          <w:iCs/>
          <w:sz w:val="21"/>
          <w:szCs w:val="21"/>
        </w:rPr>
        <w:t>以上内容整理自</w:t>
      </w:r>
      <w:r>
        <w:rPr>
          <w:rFonts w:hint="eastAsia" w:ascii="Times New Roman" w:hAnsi="Times New Roman" w:eastAsia="宋体" w:cs="宋体"/>
          <w:i/>
          <w:iCs/>
          <w:sz w:val="21"/>
          <w:szCs w:val="21"/>
          <w:lang w:val="en-US" w:eastAsia="zh-CN"/>
        </w:rPr>
        <w:t>上海</w:t>
      </w:r>
      <w:r>
        <w:rPr>
          <w:rFonts w:hint="eastAsia" w:ascii="Times New Roman" w:hAnsi="Times New Roman" w:eastAsia="宋体" w:cs="宋体"/>
          <w:i/>
          <w:iCs/>
          <w:sz w:val="21"/>
          <w:szCs w:val="21"/>
        </w:rPr>
        <w:t>金融法院</w:t>
      </w:r>
      <w:r>
        <w:rPr>
          <w:rFonts w:ascii="Times New Roman" w:hAnsi="Times New Roman" w:eastAsia="宋体" w:cs="宋体"/>
          <w:i/>
          <w:iCs/>
          <w:sz w:val="21"/>
          <w:szCs w:val="21"/>
        </w:rPr>
        <w:t>微信公众号文章《</w:t>
      </w:r>
      <w:r>
        <w:rPr>
          <w:rFonts w:hint="eastAsia" w:ascii="Times New Roman" w:hAnsi="Times New Roman" w:eastAsia="宋体" w:cs="宋体"/>
          <w:i/>
          <w:iCs/>
          <w:sz w:val="21"/>
          <w:szCs w:val="21"/>
        </w:rPr>
        <w:t>上海金融法院</w:t>
      </w:r>
      <w:r>
        <w:rPr>
          <w:rFonts w:hint="eastAsia" w:ascii="Times New Roman" w:hAnsi="Times New Roman" w:eastAsia="宋体" w:cs="宋体"/>
          <w:i/>
          <w:iCs/>
          <w:sz w:val="21"/>
          <w:szCs w:val="21"/>
          <w:lang w:val="en-US" w:eastAsia="zh-CN"/>
        </w:rPr>
        <w:t>2025年度十大典型</w:t>
      </w:r>
      <w:r>
        <w:rPr>
          <w:rFonts w:hint="eastAsia" w:ascii="Times New Roman" w:hAnsi="Times New Roman" w:eastAsia="宋体" w:cs="宋体"/>
          <w:i/>
          <w:iCs/>
          <w:sz w:val="21"/>
          <w:szCs w:val="21"/>
        </w:rPr>
        <w:t>案例》</w:t>
      </w:r>
      <w:r>
        <w:rPr>
          <w:rFonts w:hint="eastAsia" w:ascii="Times New Roman" w:hAnsi="Times New Roman" w:eastAsia="宋体" w:cs="宋体"/>
          <w:i/>
          <w:iCs/>
          <w:sz w:val="21"/>
          <w:szCs w:val="21"/>
          <w:lang w:val="en-US" w:eastAsia="zh-CN"/>
        </w:rPr>
        <w:t>以及(2023)沪74民初800号民事判决书</w:t>
      </w:r>
    </w:p>
    <w:p w14:paraId="7CC62520">
      <w:bookmarkStart w:id="0" w:name="_GoBack"/>
      <w:bookmarkEnd w:id="0"/>
    </w:p>
    <w:sectPr>
      <w:footerReference r:id="rId5" w:type="first"/>
      <w:footerReference r:id="rId4" w:type="default"/>
      <w:pgSz w:w="11906" w:h="16838"/>
      <w:pgMar w:top="1440" w:right="1417" w:bottom="1440" w:left="1417" w:header="851" w:footer="992" w:gutter="0"/>
      <w:pgNumType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panose1 w:val="02010609030101010101"/>
    <w:charset w:val="86"/>
    <w:family w:val="auto"/>
    <w:pitch w:val="default"/>
    <w:sig w:usb0="00000001" w:usb1="080E0000" w:usb2="00000000" w:usb3="00000000" w:csb0="00040000" w:csb1="00000000"/>
  </w:font>
  <w:font w:name="Arial Black">
    <w:panose1 w:val="020B0A04020102020204"/>
    <w:charset w:val="00"/>
    <w:family w:val="swiss"/>
    <w:pitch w:val="default"/>
    <w:sig w:usb0="A00002AF" w:usb1="400078FB" w:usb2="00000000" w:usb3="00000000" w:csb0="6000009F" w:csb1="DFD70000"/>
  </w:font>
  <w:font w:name="微软雅黑">
    <w:panose1 w:val="020B0503020204020204"/>
    <w:charset w:val="86"/>
    <w:family w:val="auto"/>
    <w:pitch w:val="default"/>
    <w:sig w:usb0="80000287" w:usb1="2ACF3C50" w:usb2="00000016" w:usb3="00000000" w:csb0="0004001F"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B19570">
    <w:pPr>
      <w:pStyle w:val="5"/>
      <w:jc w:val="center"/>
      <w:rPr>
        <w:rFonts w:ascii="Times New Roman" w:hAnsi="Times New Roman" w:eastAsia="宋体"/>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85C8B8">
    <w:pPr>
      <w:pStyle w:val="5"/>
      <w:rPr>
        <w:rFonts w:hint="eastAsi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81C775">
    <w:pPr>
      <w:pStyle w:val="5"/>
      <w:rPr>
        <w:rFonts w:ascii="Times New Roman" w:hAnsi="Times New Roman" w:eastAsia="宋体"/>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C3F6F90"/>
    <w:multiLevelType w:val="singleLevel"/>
    <w:tmpl w:val="AC3F6F90"/>
    <w:lvl w:ilvl="0" w:tentative="0">
      <w:start w:val="1"/>
      <w:numFmt w:val="bullet"/>
      <w:lvlText w:val=""/>
      <w:lvlJc w:val="left"/>
      <w:pPr>
        <w:ind w:left="420" w:hanging="420"/>
      </w:pPr>
      <w:rPr>
        <w:rFonts w:hint="default" w:ascii="Wingdings" w:hAnsi="Wingdings"/>
      </w:rPr>
    </w:lvl>
  </w:abstractNum>
  <w:abstractNum w:abstractNumId="1">
    <w:nsid w:val="0000000B"/>
    <w:multiLevelType w:val="multilevel"/>
    <w:tmpl w:val="0000000B"/>
    <w:lvl w:ilvl="0" w:tentative="0">
      <w:start w:val="1"/>
      <w:numFmt w:val="bullet"/>
      <w:lvlText w:val=""/>
      <w:lvlJc w:val="left"/>
      <w:pPr>
        <w:tabs>
          <w:tab w:val="left" w:pos="420"/>
        </w:tabs>
        <w:ind w:left="420" w:hanging="420"/>
      </w:pPr>
      <w:rPr>
        <w:rFonts w:hint="default" w:ascii="Wingdings" w:hAnsi="Wingdings"/>
      </w:rPr>
    </w:lvl>
    <w:lvl w:ilvl="1" w:tentative="0">
      <w:start w:val="1"/>
      <w:numFmt w:val="bullet"/>
      <w:lvlText w:val=""/>
      <w:lvlJc w:val="left"/>
      <w:pPr>
        <w:tabs>
          <w:tab w:val="left" w:pos="846"/>
        </w:tabs>
        <w:ind w:left="846"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2">
    <w:nsid w:val="0000000D"/>
    <w:multiLevelType w:val="singleLevel"/>
    <w:tmpl w:val="0000000D"/>
    <w:lvl w:ilvl="0" w:tentative="0">
      <w:start w:val="1"/>
      <w:numFmt w:val="decimal"/>
      <w:suff w:val="nothing"/>
      <w:lvlText w:val="（%1）"/>
      <w:lvlJc w:val="left"/>
      <w:rPr>
        <w:rFonts w:hint="default"/>
        <w:b w:val="0"/>
        <w:bCs w:val="0"/>
        <w:sz w:val="24"/>
        <w:szCs w:val="24"/>
      </w:rPr>
    </w:lvl>
  </w:abstractNum>
  <w:abstractNum w:abstractNumId="3">
    <w:nsid w:val="7531B948"/>
    <w:multiLevelType w:val="singleLevel"/>
    <w:tmpl w:val="7531B948"/>
    <w:lvl w:ilvl="0" w:tentative="0">
      <w:start w:val="1"/>
      <w:numFmt w:val="bullet"/>
      <w:lvlText w:val=""/>
      <w:lvlJc w:val="left"/>
      <w:pPr>
        <w:ind w:left="420" w:hanging="420"/>
      </w:pPr>
      <w:rPr>
        <w:rFonts w:hint="default" w:ascii="Wingdings" w:hAnsi="Wingdings"/>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FEF740F6"/>
    <w:rsid w:val="043B10FF"/>
    <w:rsid w:val="0B865355"/>
    <w:rsid w:val="2CAE2EFC"/>
    <w:rsid w:val="2F1743DB"/>
    <w:rsid w:val="34CA1662"/>
    <w:rsid w:val="422875CB"/>
    <w:rsid w:val="46072613"/>
    <w:rsid w:val="4CC96874"/>
    <w:rsid w:val="6F213E96"/>
    <w:rsid w:val="77DF044B"/>
    <w:rsid w:val="7AF620FE"/>
    <w:rsid w:val="7D891584"/>
    <w:rsid w:val="7F7BF484"/>
    <w:rsid w:val="BEFFCEEB"/>
    <w:rsid w:val="FEF740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楷体_GB2312" w:hAnsi="宋体" w:eastAsia="楷体_GB2312" w:cs="Times New Roman"/>
      <w:color w:val="000000"/>
      <w:kern w:val="2"/>
      <w:sz w:val="24"/>
      <w:szCs w:val="27"/>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8">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Body Text"/>
    <w:basedOn w:val="1"/>
    <w:qFormat/>
    <w:uiPriority w:val="0"/>
    <w:pPr>
      <w:spacing w:after="120"/>
    </w:p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Normal (Web)"/>
    <w:basedOn w:val="1"/>
    <w:qFormat/>
    <w:uiPriority w:val="99"/>
    <w:pPr>
      <w:widowControl/>
      <w:jc w:val="left"/>
    </w:pPr>
    <w:rPr>
      <w:rFonts w:ascii="宋体" w:eastAsia="宋体" w:cs="宋体"/>
      <w:color w:val="auto"/>
      <w:kern w:val="0"/>
      <w:szCs w:val="24"/>
    </w:rPr>
  </w:style>
  <w:style w:type="character" w:styleId="9">
    <w:name w:val="Hyperlink"/>
    <w:qFormat/>
    <w:uiPriority w:val="0"/>
    <w:rPr>
      <w:color w:val="0000FF"/>
      <w:u w:val="single"/>
    </w:rPr>
  </w:style>
  <w:style w:type="paragraph" w:customStyle="1" w:styleId="10">
    <w:name w:val="p1"/>
    <w:basedOn w:val="1"/>
    <w:qFormat/>
    <w:uiPriority w:val="0"/>
    <w:pPr>
      <w:spacing w:before="0" w:beforeAutospacing="0" w:after="0" w:afterAutospacing="0"/>
      <w:ind w:left="0" w:right="0"/>
      <w:jc w:val="left"/>
    </w:pPr>
    <w:rPr>
      <w:rFonts w:ascii="Times New Roman" w:hAnsi="Times New Roman" w:cs="Times New Roman"/>
      <w:color w:val="000000"/>
      <w:kern w:val="0"/>
      <w:sz w:val="24"/>
      <w:szCs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pn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8676</Words>
  <Characters>10035</Characters>
  <Lines>0</Lines>
  <Paragraphs>0</Paragraphs>
  <TotalTime>125</TotalTime>
  <ScaleCrop>false</ScaleCrop>
  <LinksUpToDate>false</LinksUpToDate>
  <CharactersWithSpaces>10076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2026-05-04T03:57:00Z</dcterms:created>
  <dc:creator>周一琳</dc:creator>
  <cp:lastModifiedBy>panxl</cp:lastModifiedBy>
  <dcterms:modified xsi:type="dcterms:W3CDTF">2026-05-12T13:22:33Z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64816D54CD5B261CA5C7F66938324070_41</vt:lpwstr>
  </property>
  <property fmtid="{D5CDD505-2E9C-101B-9397-08002B2CF9AE}" pid="4" name="KSOTemplateDocerSaveRecord">
    <vt:lpwstr>eyJoZGlkIjoiNmJkODhiNjg3MmM0OThiZGY4Y2NiYjg2YjQ5YzJiZmEiLCJ1c2VySWQiOiIyNDE2MDI5MTkifQ==</vt:lpwstr>
  </property>
</Properties>
</file>